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C898" w14:textId="0E424457" w:rsidR="00FF5B37" w:rsidRPr="00FF5B37" w:rsidRDefault="00FF5B37" w:rsidP="00FF5B37">
      <w:pPr>
        <w:tabs>
          <w:tab w:val="right" w:pos="8280"/>
        </w:tabs>
        <w:ind w:right="-22"/>
        <w:jc w:val="left"/>
        <w:rPr>
          <w:rFonts w:ascii="Verdana" w:hAnsi="Verdana"/>
          <w:caps/>
          <w:sz w:val="20"/>
        </w:rPr>
      </w:pPr>
    </w:p>
    <w:p w14:paraId="5EE13D11" w14:textId="77777777" w:rsidR="00614DBA" w:rsidRPr="008721BB" w:rsidRDefault="00614DBA" w:rsidP="00B66376">
      <w:pPr>
        <w:tabs>
          <w:tab w:val="right" w:pos="8280"/>
        </w:tabs>
        <w:ind w:right="-22"/>
        <w:jc w:val="right"/>
        <w:rPr>
          <w:rFonts w:ascii="Verdana" w:hAnsi="Verdana"/>
          <w:caps/>
          <w:sz w:val="20"/>
        </w:rPr>
      </w:pPr>
    </w:p>
    <w:p w14:paraId="66310660" w14:textId="77777777" w:rsidR="008123CA" w:rsidRPr="008721BB" w:rsidRDefault="008123CA" w:rsidP="00614DBA">
      <w:pPr>
        <w:pStyle w:val="Koptekst"/>
        <w:tabs>
          <w:tab w:val="left" w:pos="3420"/>
          <w:tab w:val="right" w:pos="9000"/>
        </w:tabs>
        <w:jc w:val="left"/>
        <w:rPr>
          <w:rFonts w:ascii="Verdana" w:hAnsi="Verdana"/>
          <w:color w:val="333333"/>
          <w:sz w:val="20"/>
        </w:rPr>
      </w:pPr>
    </w:p>
    <w:p w14:paraId="08D5CE26" w14:textId="77777777" w:rsidR="00614DBA" w:rsidRPr="00AE38CA" w:rsidRDefault="00F800F5" w:rsidP="005C0FBC">
      <w:pPr>
        <w:pStyle w:val="Titel"/>
        <w:rPr>
          <w:rFonts w:eastAsia="Verdana" w:cs="Verdana"/>
          <w:bCs/>
          <w:sz w:val="44"/>
          <w:szCs w:val="44"/>
          <w:lang w:bidi="en-GB"/>
        </w:rPr>
      </w:pPr>
      <w:r w:rsidRPr="00AE38CA">
        <w:rPr>
          <w:rFonts w:eastAsia="Verdana" w:cs="Verdana"/>
          <w:bCs/>
          <w:sz w:val="44"/>
          <w:szCs w:val="44"/>
          <w:lang w:bidi="en-GB"/>
        </w:rPr>
        <w:t>Feasibility Study for a Child Guarantee</w:t>
      </w:r>
      <w:r w:rsidR="00D2135F" w:rsidRPr="00AE38CA">
        <w:rPr>
          <w:rFonts w:eastAsia="Verdana" w:cs="Verdana"/>
          <w:bCs/>
          <w:sz w:val="44"/>
          <w:szCs w:val="44"/>
          <w:lang w:bidi="en-GB"/>
        </w:rPr>
        <w:t xml:space="preserve"> </w:t>
      </w:r>
    </w:p>
    <w:p w14:paraId="0D524075" w14:textId="77777777" w:rsidR="00DF2EB5" w:rsidRPr="00AE38CA" w:rsidRDefault="00DF2EB5" w:rsidP="00DF2EB5">
      <w:pPr>
        <w:rPr>
          <w:rFonts w:eastAsia="Verdana"/>
          <w:sz w:val="44"/>
          <w:szCs w:val="44"/>
          <w:lang w:bidi="en-GB"/>
        </w:rPr>
      </w:pPr>
    </w:p>
    <w:p w14:paraId="277F78E6" w14:textId="77777777" w:rsidR="00AD5B17" w:rsidRPr="00AE38CA" w:rsidRDefault="00AD5B17" w:rsidP="00DF2EB5">
      <w:pPr>
        <w:pStyle w:val="Title2"/>
        <w:rPr>
          <w:sz w:val="44"/>
          <w:szCs w:val="44"/>
        </w:rPr>
      </w:pPr>
    </w:p>
    <w:p w14:paraId="604DE72C" w14:textId="77777777" w:rsidR="00DF2EB5" w:rsidRPr="00AE38CA" w:rsidRDefault="00F800F5" w:rsidP="00DF2EB5">
      <w:pPr>
        <w:pStyle w:val="Title2"/>
        <w:rPr>
          <w:sz w:val="44"/>
          <w:szCs w:val="44"/>
        </w:rPr>
      </w:pPr>
      <w:r w:rsidRPr="00AE38CA">
        <w:rPr>
          <w:sz w:val="44"/>
          <w:szCs w:val="44"/>
        </w:rPr>
        <w:t>Country report</w:t>
      </w:r>
      <w:r w:rsidR="00FD738D" w:rsidRPr="00AE38CA">
        <w:rPr>
          <w:sz w:val="44"/>
          <w:szCs w:val="44"/>
        </w:rPr>
        <w:t xml:space="preserve"> </w:t>
      </w:r>
      <w:r w:rsidR="00937BF9" w:rsidRPr="00AE38CA">
        <w:rPr>
          <w:sz w:val="44"/>
          <w:szCs w:val="44"/>
        </w:rPr>
        <w:t>–</w:t>
      </w:r>
      <w:r w:rsidR="00FD738D" w:rsidRPr="00AE38CA">
        <w:rPr>
          <w:sz w:val="44"/>
          <w:szCs w:val="44"/>
        </w:rPr>
        <w:t xml:space="preserve"> </w:t>
      </w:r>
      <w:r w:rsidR="00EF11BF" w:rsidRPr="00AE38CA">
        <w:rPr>
          <w:sz w:val="44"/>
          <w:szCs w:val="44"/>
        </w:rPr>
        <w:t>the Netherlands</w:t>
      </w:r>
    </w:p>
    <w:p w14:paraId="27AA7135" w14:textId="77777777" w:rsidR="00614DBA" w:rsidRPr="00AE38CA" w:rsidRDefault="00DF2EB5" w:rsidP="00DF2EB5">
      <w:pPr>
        <w:pStyle w:val="Title2"/>
        <w:rPr>
          <w:sz w:val="40"/>
          <w:szCs w:val="40"/>
        </w:rPr>
      </w:pPr>
      <w:r w:rsidRPr="00AE38CA">
        <w:rPr>
          <w:sz w:val="40"/>
          <w:szCs w:val="40"/>
        </w:rPr>
        <w:t>2</w:t>
      </w:r>
      <w:r w:rsidR="005C0FBC" w:rsidRPr="00AE38CA">
        <w:rPr>
          <w:sz w:val="40"/>
          <w:szCs w:val="40"/>
        </w:rPr>
        <w:t>019</w:t>
      </w:r>
    </w:p>
    <w:p w14:paraId="50C5B926" w14:textId="77777777" w:rsidR="00614DBA" w:rsidRPr="00AE38CA" w:rsidRDefault="00614DBA" w:rsidP="00614DBA">
      <w:pPr>
        <w:rPr>
          <w:rFonts w:ascii="Verdana" w:hAnsi="Verdana"/>
        </w:rPr>
      </w:pPr>
    </w:p>
    <w:p w14:paraId="4C5CB7CD" w14:textId="77777777" w:rsidR="00614DBA" w:rsidRPr="00AE38CA" w:rsidRDefault="00614DBA" w:rsidP="008F5DE4">
      <w:pPr>
        <w:pStyle w:val="Plattetekst"/>
      </w:pPr>
    </w:p>
    <w:p w14:paraId="1C041AE0" w14:textId="77777777" w:rsidR="00614DBA" w:rsidRPr="00AE38CA" w:rsidRDefault="00614DBA" w:rsidP="008F5DE4">
      <w:pPr>
        <w:pStyle w:val="Plattetekst"/>
      </w:pPr>
    </w:p>
    <w:p w14:paraId="6487D053" w14:textId="77777777" w:rsidR="00614DBA" w:rsidRPr="00AE38CA" w:rsidRDefault="00614DBA" w:rsidP="008F5DE4">
      <w:pPr>
        <w:pStyle w:val="Plattetekst"/>
      </w:pPr>
    </w:p>
    <w:p w14:paraId="494FEEE5" w14:textId="77777777" w:rsidR="00614DBA" w:rsidRPr="00AE38CA" w:rsidRDefault="00614DBA" w:rsidP="008F5DE4">
      <w:pPr>
        <w:pStyle w:val="Plattetekst"/>
      </w:pPr>
    </w:p>
    <w:p w14:paraId="1A8CB2DE" w14:textId="77777777" w:rsidR="00614DBA" w:rsidRPr="00AE38CA" w:rsidRDefault="00614DBA" w:rsidP="008F5DE4">
      <w:pPr>
        <w:pStyle w:val="Plattetekst"/>
      </w:pPr>
    </w:p>
    <w:p w14:paraId="22B6A2CD" w14:textId="77777777" w:rsidR="00614DBA" w:rsidRPr="00AE38CA" w:rsidRDefault="00614DBA" w:rsidP="008F5DE4">
      <w:pPr>
        <w:pStyle w:val="Plattetekst"/>
      </w:pPr>
    </w:p>
    <w:p w14:paraId="53905622" w14:textId="77777777" w:rsidR="00614DBA" w:rsidRPr="00AE38CA" w:rsidRDefault="00614DBA" w:rsidP="008F5DE4">
      <w:pPr>
        <w:pStyle w:val="Plattetekst"/>
      </w:pPr>
    </w:p>
    <w:p w14:paraId="63453103" w14:textId="46564B8A" w:rsidR="00614DBA" w:rsidRPr="00AE38CA" w:rsidRDefault="004268D4" w:rsidP="00614DBA">
      <w:pPr>
        <w:pStyle w:val="DocumentSubtitle"/>
        <w:tabs>
          <w:tab w:val="left" w:pos="4536"/>
        </w:tabs>
        <w:jc w:val="right"/>
        <w:rPr>
          <w:i/>
          <w:sz w:val="24"/>
          <w:szCs w:val="24"/>
        </w:rPr>
        <w:sectPr w:rsidR="00614DBA" w:rsidRPr="00AE38CA" w:rsidSect="00614DBA">
          <w:headerReference w:type="default" r:id="rId11"/>
          <w:footerReference w:type="default" r:id="rId12"/>
          <w:headerReference w:type="first" r:id="rId13"/>
          <w:footerReference w:type="first" r:id="rId14"/>
          <w:pgSz w:w="11907" w:h="16839" w:code="9"/>
          <w:pgMar w:top="851" w:right="1418" w:bottom="851" w:left="1418" w:header="567" w:footer="947" w:gutter="0"/>
          <w:cols w:space="720"/>
          <w:titlePg/>
          <w:docGrid w:linePitch="326"/>
        </w:sectPr>
      </w:pPr>
      <w:r w:rsidRPr="00AE38CA">
        <w:rPr>
          <w:noProof/>
          <w:lang w:val="en-IE" w:eastAsia="en-IE"/>
        </w:rPr>
        <mc:AlternateContent>
          <mc:Choice Requires="wpg">
            <w:drawing>
              <wp:anchor distT="0" distB="0" distL="114300" distR="114300" simplePos="0" relativeHeight="251658240" behindDoc="0" locked="0" layoutInCell="1" allowOverlap="1" wp14:anchorId="7B70E3CC" wp14:editId="132D27A3">
                <wp:simplePos x="0" y="0"/>
                <wp:positionH relativeFrom="column">
                  <wp:posOffset>4265930</wp:posOffset>
                </wp:positionH>
                <wp:positionV relativeFrom="paragraph">
                  <wp:posOffset>947420</wp:posOffset>
                </wp:positionV>
                <wp:extent cx="2009775" cy="819785"/>
                <wp:effectExtent l="3810" t="0" r="5715" b="444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819785"/>
                          <a:chOff x="7896" y="14962"/>
                          <a:chExt cx="3525" cy="1438"/>
                        </a:xfrm>
                      </wpg:grpSpPr>
                      <pic:pic xmlns:pic="http://schemas.openxmlformats.org/drawingml/2006/picture">
                        <pic:nvPicPr>
                          <pic:cNvPr id="19" name="Picture 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7896" y="15789"/>
                            <a:ext cx="1282" cy="5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9541" y="16018"/>
                            <a:ext cx="1880" cy="3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5" descr="Logo_Applica no background_email"/>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7896" y="15142"/>
                            <a:ext cx="1365" cy="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9541" y="14962"/>
                            <a:ext cx="906" cy="8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FB004" id="Group 9" o:spid="_x0000_s1026" style="position:absolute;margin-left:335.9pt;margin-top:74.6pt;width:158.25pt;height:64.55pt;z-index:251658240" coordorigin="7896,14962" coordsize="3525,1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896;top:15789;width:1282;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">
                  <v:imagedata r:id="rId19" o:title=""/>
                </v:shape>
                <v:shape id="Picture 3" o:spid="_x0000_s1028" type="#_x0000_t75" style="position:absolute;left:9541;top:16018;width:1880;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">
                  <v:imagedata r:id="rId20" o:title=""/>
                </v:shape>
                <v:shape id="Picture 5" o:spid="_x0000_s1029" type="#_x0000_t75" alt="Logo_Applica no background_email" style="position:absolute;left:7896;top:15142;width:1365;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">
                  <v:imagedata r:id="rId21" o:title="Logo_Applica no background_email"/>
                </v:shape>
                <v:shape id="Picture 10" o:spid="_x0000_s1030" type="#_x0000_t75" style="position:absolute;left:9541;top:14962;width:906;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">
                  <v:imagedata r:id="rId22" o:title=""/>
                </v:shape>
              </v:group>
            </w:pict>
          </mc:Fallback>
        </mc:AlternateContent>
      </w:r>
    </w:p>
    <w:p w14:paraId="7076380C" w14:textId="77777777" w:rsidR="00614DBA" w:rsidRPr="00AE38CA" w:rsidRDefault="00614DBA" w:rsidP="00614DBA">
      <w:pPr>
        <w:rPr>
          <w:rFonts w:ascii="Verdana" w:hAnsi="Verdana"/>
        </w:rPr>
      </w:pPr>
    </w:p>
    <w:p w14:paraId="02511D26" w14:textId="77777777" w:rsidR="00614DBA" w:rsidRPr="00AE38CA" w:rsidRDefault="00614DBA" w:rsidP="00614DBA">
      <w:pPr>
        <w:rPr>
          <w:rFonts w:ascii="Verdana" w:hAnsi="Verdana"/>
        </w:rPr>
      </w:pPr>
    </w:p>
    <w:p w14:paraId="7CD7E6C9" w14:textId="77777777" w:rsidR="00614DBA" w:rsidRPr="00AE38CA" w:rsidRDefault="00614DBA" w:rsidP="00614DBA">
      <w:pPr>
        <w:rPr>
          <w:rFonts w:ascii="Verdana" w:hAnsi="Verdana"/>
        </w:rPr>
      </w:pPr>
    </w:p>
    <w:p w14:paraId="01BD9EC4" w14:textId="77777777" w:rsidR="00614DBA" w:rsidRPr="00AE38CA" w:rsidRDefault="00614DBA" w:rsidP="00614DBA">
      <w:pPr>
        <w:rPr>
          <w:rFonts w:ascii="Verdana" w:hAnsi="Verdana"/>
        </w:rPr>
      </w:pPr>
    </w:p>
    <w:p w14:paraId="6280856A" w14:textId="77777777" w:rsidR="00614DBA" w:rsidRPr="00AE38CA" w:rsidRDefault="00614DBA" w:rsidP="00614DBA">
      <w:pPr>
        <w:rPr>
          <w:rFonts w:ascii="Verdana" w:hAnsi="Verdana"/>
        </w:rPr>
      </w:pPr>
    </w:p>
    <w:p w14:paraId="778B26E6" w14:textId="77777777" w:rsidR="00614DBA" w:rsidRPr="00AE38CA" w:rsidRDefault="00614DBA" w:rsidP="00614DBA">
      <w:pPr>
        <w:rPr>
          <w:rFonts w:ascii="Verdana" w:hAnsi="Verdana"/>
        </w:rPr>
      </w:pPr>
    </w:p>
    <w:p w14:paraId="30602BE8" w14:textId="77777777" w:rsidR="00614DBA" w:rsidRPr="00AE38CA" w:rsidRDefault="00614DBA" w:rsidP="00614DBA">
      <w:pPr>
        <w:rPr>
          <w:rFonts w:ascii="Verdana" w:hAnsi="Verdana"/>
        </w:rPr>
      </w:pPr>
    </w:p>
    <w:p w14:paraId="748141EA" w14:textId="77777777" w:rsidR="00614DBA" w:rsidRPr="00AE38CA" w:rsidRDefault="00614DBA" w:rsidP="00614DBA">
      <w:pPr>
        <w:rPr>
          <w:rFonts w:ascii="Verdana" w:hAnsi="Verdana"/>
        </w:rPr>
      </w:pPr>
    </w:p>
    <w:p w14:paraId="1DCA97A9" w14:textId="77777777" w:rsidR="00614DBA" w:rsidRPr="00AE38CA" w:rsidRDefault="00614DBA" w:rsidP="00614DBA">
      <w:pPr>
        <w:rPr>
          <w:rFonts w:ascii="Verdana" w:hAnsi="Verdana"/>
        </w:rPr>
      </w:pPr>
    </w:p>
    <w:p w14:paraId="0028E65F" w14:textId="77777777" w:rsidR="00614DBA" w:rsidRPr="00AE38CA" w:rsidRDefault="00614DBA" w:rsidP="00614DBA">
      <w:pPr>
        <w:rPr>
          <w:rFonts w:ascii="Verdana" w:hAnsi="Verdana"/>
        </w:rPr>
      </w:pPr>
    </w:p>
    <w:p w14:paraId="3C1A71ED" w14:textId="77777777" w:rsidR="00614DBA" w:rsidRPr="00AE38CA" w:rsidRDefault="00614DBA" w:rsidP="00614DBA">
      <w:pPr>
        <w:rPr>
          <w:rFonts w:ascii="Verdana" w:hAnsi="Verdana"/>
        </w:rPr>
      </w:pPr>
    </w:p>
    <w:p w14:paraId="5D915967" w14:textId="77777777" w:rsidR="00614DBA" w:rsidRPr="00AE38CA" w:rsidRDefault="00614DBA" w:rsidP="00614DBA">
      <w:pPr>
        <w:rPr>
          <w:rFonts w:ascii="Verdana" w:hAnsi="Verdana"/>
        </w:rPr>
      </w:pPr>
    </w:p>
    <w:p w14:paraId="2C1FB782" w14:textId="77777777" w:rsidR="00614DBA" w:rsidRPr="00AE38CA" w:rsidRDefault="00614DBA" w:rsidP="00614DBA">
      <w:pPr>
        <w:rPr>
          <w:rFonts w:ascii="Verdana" w:hAnsi="Verdana"/>
        </w:rPr>
      </w:pPr>
    </w:p>
    <w:p w14:paraId="57CFD011" w14:textId="77777777" w:rsidR="00614DBA" w:rsidRPr="00AE38CA" w:rsidRDefault="00614DBA" w:rsidP="00614DBA">
      <w:pPr>
        <w:rPr>
          <w:rFonts w:ascii="Verdana" w:hAnsi="Verdana"/>
        </w:rPr>
      </w:pPr>
    </w:p>
    <w:p w14:paraId="5A6DEDD9" w14:textId="77777777" w:rsidR="00614DBA" w:rsidRPr="00AE38CA" w:rsidRDefault="00614DBA" w:rsidP="00614DBA">
      <w:pPr>
        <w:rPr>
          <w:rFonts w:ascii="Verdana" w:hAnsi="Verdana"/>
        </w:rPr>
      </w:pPr>
    </w:p>
    <w:p w14:paraId="464A7739" w14:textId="77777777" w:rsidR="00614DBA" w:rsidRPr="00AE38CA" w:rsidRDefault="00614DBA" w:rsidP="00614DBA">
      <w:pPr>
        <w:rPr>
          <w:rFonts w:ascii="Verdana" w:hAnsi="Verdana"/>
        </w:rPr>
      </w:pPr>
    </w:p>
    <w:p w14:paraId="31CC93EF" w14:textId="77777777" w:rsidR="00614DBA" w:rsidRPr="00AE38CA" w:rsidRDefault="00614DBA" w:rsidP="00614DBA">
      <w:pPr>
        <w:rPr>
          <w:rFonts w:ascii="Verdana" w:hAnsi="Verdana"/>
        </w:rPr>
      </w:pPr>
    </w:p>
    <w:p w14:paraId="10540394" w14:textId="77777777" w:rsidR="00830350" w:rsidRPr="00AE38CA" w:rsidRDefault="00830350" w:rsidP="00614DBA">
      <w:pPr>
        <w:rPr>
          <w:rFonts w:ascii="Verdana" w:hAnsi="Verdana"/>
        </w:rPr>
      </w:pPr>
    </w:p>
    <w:p w14:paraId="021A10BF" w14:textId="77777777" w:rsidR="00614DBA" w:rsidRPr="00AE38CA" w:rsidRDefault="00614DBA" w:rsidP="00614DBA">
      <w:pPr>
        <w:rPr>
          <w:rFonts w:ascii="Verdana" w:hAnsi="Verdana"/>
        </w:rPr>
      </w:pPr>
    </w:p>
    <w:p w14:paraId="3D0129E8" w14:textId="77777777" w:rsidR="00614DBA" w:rsidRPr="00AE38CA" w:rsidRDefault="00614DBA" w:rsidP="00614DBA">
      <w:pPr>
        <w:rPr>
          <w:rFonts w:ascii="Verdana" w:hAnsi="Verdana"/>
        </w:rPr>
      </w:pPr>
    </w:p>
    <w:p w14:paraId="70B17DCD" w14:textId="77777777" w:rsidR="00614DBA" w:rsidRPr="00AE38CA" w:rsidRDefault="00614DBA" w:rsidP="00614DBA">
      <w:pPr>
        <w:rPr>
          <w:rFonts w:ascii="Verdana" w:hAnsi="Verdana"/>
        </w:rPr>
      </w:pPr>
    </w:p>
    <w:p w14:paraId="64340E1E" w14:textId="77777777" w:rsidR="00614DBA" w:rsidRPr="00AE38CA" w:rsidRDefault="00614DBA" w:rsidP="00614DBA">
      <w:pPr>
        <w:pStyle w:val="HeadingBody"/>
        <w:rPr>
          <w:sz w:val="18"/>
        </w:rPr>
      </w:pPr>
    </w:p>
    <w:p w14:paraId="3C0E7D6D" w14:textId="77777777" w:rsidR="00614DBA" w:rsidRPr="00AE38CA" w:rsidRDefault="00614DBA" w:rsidP="00614DBA">
      <w:pPr>
        <w:pStyle w:val="HeadingBody"/>
        <w:rPr>
          <w:sz w:val="18"/>
        </w:rPr>
      </w:pPr>
    </w:p>
    <w:p w14:paraId="12EE80FD" w14:textId="77777777" w:rsidR="00614DBA" w:rsidRPr="00AE38CA" w:rsidRDefault="00D2135F" w:rsidP="00614DBA">
      <w:pPr>
        <w:pStyle w:val="HeadingBody"/>
        <w:rPr>
          <w:sz w:val="18"/>
        </w:rPr>
      </w:pPr>
      <w:r w:rsidRPr="00AE38CA">
        <w:rPr>
          <w:rFonts w:eastAsia="Verdana" w:cs="Verdana"/>
          <w:bCs/>
          <w:sz w:val="18"/>
          <w:lang w:bidi="en-GB"/>
        </w:rPr>
        <w:t>EUROPEAN COMMISSION</w:t>
      </w:r>
    </w:p>
    <w:p w14:paraId="62D71AD6" w14:textId="77777777" w:rsidR="00614DBA" w:rsidRPr="00AE38CA" w:rsidRDefault="00D2135F" w:rsidP="00614DBA">
      <w:pPr>
        <w:spacing w:after="0"/>
        <w:jc w:val="left"/>
        <w:rPr>
          <w:rFonts w:ascii="Verdana" w:hAnsi="Verdana"/>
          <w:sz w:val="16"/>
          <w:szCs w:val="16"/>
        </w:rPr>
      </w:pPr>
      <w:r w:rsidRPr="00AE38CA">
        <w:rPr>
          <w:rFonts w:ascii="Verdana" w:eastAsia="Verdana" w:hAnsi="Verdana" w:cs="Verdana"/>
          <w:sz w:val="16"/>
          <w:szCs w:val="16"/>
          <w:lang w:bidi="en-GB"/>
        </w:rPr>
        <w:t>Directorate-General for Employment, Social Affairs and Inclusion</w:t>
      </w:r>
    </w:p>
    <w:p w14:paraId="712D7508" w14:textId="77777777" w:rsidR="00614DBA" w:rsidRPr="00AE38CA" w:rsidRDefault="00D2135F" w:rsidP="00614DBA">
      <w:pPr>
        <w:spacing w:after="0"/>
        <w:jc w:val="left"/>
        <w:rPr>
          <w:rFonts w:ascii="Verdana" w:hAnsi="Verdana"/>
          <w:sz w:val="16"/>
          <w:szCs w:val="16"/>
        </w:rPr>
      </w:pPr>
      <w:r w:rsidRPr="00AE38CA">
        <w:rPr>
          <w:rFonts w:ascii="Verdana" w:eastAsia="Verdana" w:hAnsi="Verdana" w:cs="Verdana"/>
          <w:sz w:val="16"/>
          <w:szCs w:val="16"/>
          <w:lang w:bidi="en-GB"/>
        </w:rPr>
        <w:t xml:space="preserve">Directorate </w:t>
      </w:r>
      <w:r w:rsidR="00E418A7" w:rsidRPr="00AE38CA">
        <w:rPr>
          <w:rFonts w:ascii="Verdana" w:eastAsia="Verdana" w:hAnsi="Verdana" w:cs="Verdana"/>
          <w:sz w:val="16"/>
          <w:szCs w:val="16"/>
          <w:lang w:bidi="en-GB"/>
        </w:rPr>
        <w:t>C</w:t>
      </w:r>
      <w:r w:rsidRPr="00AE38CA">
        <w:rPr>
          <w:rFonts w:ascii="Verdana" w:eastAsia="Verdana" w:hAnsi="Verdana" w:cs="Verdana"/>
          <w:sz w:val="16"/>
          <w:szCs w:val="16"/>
          <w:lang w:bidi="en-GB"/>
        </w:rPr>
        <w:t xml:space="preserve"> — </w:t>
      </w:r>
      <w:r w:rsidR="00066812" w:rsidRPr="00AE38CA">
        <w:rPr>
          <w:rFonts w:ascii="Verdana" w:eastAsia="Verdana" w:hAnsi="Verdana" w:cs="Verdana"/>
          <w:sz w:val="16"/>
          <w:szCs w:val="16"/>
          <w:lang w:bidi="en-GB"/>
        </w:rPr>
        <w:t>Social Affairs</w:t>
      </w:r>
    </w:p>
    <w:p w14:paraId="77EFA652" w14:textId="77777777" w:rsidR="00614DBA" w:rsidRPr="00AE38CA" w:rsidRDefault="00E418A7" w:rsidP="00614DBA">
      <w:pPr>
        <w:spacing w:after="120"/>
        <w:jc w:val="left"/>
        <w:rPr>
          <w:rFonts w:ascii="Verdana" w:hAnsi="Verdana"/>
          <w:i/>
          <w:sz w:val="16"/>
          <w:szCs w:val="16"/>
        </w:rPr>
      </w:pPr>
      <w:r w:rsidRPr="00AE38CA">
        <w:rPr>
          <w:rFonts w:ascii="Verdana" w:eastAsia="Verdana" w:hAnsi="Verdana" w:cs="Verdana"/>
          <w:sz w:val="16"/>
          <w:szCs w:val="16"/>
          <w:lang w:bidi="en-GB"/>
        </w:rPr>
        <w:t>Unit C</w:t>
      </w:r>
      <w:r w:rsidR="00D2135F" w:rsidRPr="00AE38CA">
        <w:rPr>
          <w:rFonts w:ascii="Verdana" w:eastAsia="Verdana" w:hAnsi="Verdana" w:cs="Verdana"/>
          <w:sz w:val="16"/>
          <w:szCs w:val="16"/>
          <w:lang w:bidi="en-GB"/>
        </w:rPr>
        <w:t>.</w:t>
      </w:r>
      <w:r w:rsidR="004E07E8" w:rsidRPr="00AE38CA">
        <w:rPr>
          <w:rFonts w:ascii="Verdana" w:eastAsia="Verdana" w:hAnsi="Verdana" w:cs="Verdana"/>
          <w:sz w:val="16"/>
          <w:szCs w:val="16"/>
          <w:lang w:bidi="en-GB"/>
        </w:rPr>
        <w:t>3</w:t>
      </w:r>
      <w:r w:rsidR="00D2135F" w:rsidRPr="00AE38CA">
        <w:rPr>
          <w:rFonts w:ascii="Verdana" w:eastAsia="Verdana" w:hAnsi="Verdana" w:cs="Verdana"/>
          <w:sz w:val="16"/>
          <w:szCs w:val="16"/>
          <w:lang w:bidi="en-GB"/>
        </w:rPr>
        <w:t xml:space="preserve"> — </w:t>
      </w:r>
      <w:r w:rsidR="004E07E8" w:rsidRPr="00AE38CA">
        <w:rPr>
          <w:rFonts w:ascii="Verdana" w:eastAsia="Verdana" w:hAnsi="Verdana" w:cs="Verdana"/>
          <w:sz w:val="16"/>
          <w:szCs w:val="16"/>
          <w:lang w:bidi="en-GB"/>
        </w:rPr>
        <w:t>Disability &amp; inclusion</w:t>
      </w:r>
    </w:p>
    <w:p w14:paraId="3FCC7FB7" w14:textId="77777777" w:rsidR="00614DBA" w:rsidRPr="00AE38CA" w:rsidRDefault="00D2135F" w:rsidP="00614DBA">
      <w:pPr>
        <w:spacing w:after="120"/>
        <w:jc w:val="left"/>
        <w:rPr>
          <w:rFonts w:ascii="Verdana" w:hAnsi="Verdana"/>
          <w:i/>
          <w:sz w:val="16"/>
          <w:szCs w:val="16"/>
          <w:lang w:val="nl-NL"/>
        </w:rPr>
      </w:pPr>
      <w:r w:rsidRPr="00AE38CA">
        <w:rPr>
          <w:rFonts w:ascii="Verdana" w:eastAsia="Verdana" w:hAnsi="Verdana" w:cs="Verdana"/>
          <w:i/>
          <w:sz w:val="16"/>
          <w:szCs w:val="16"/>
          <w:lang w:val="nl-NL" w:bidi="en-GB"/>
        </w:rPr>
        <w:t>Contact:</w:t>
      </w:r>
      <w:r w:rsidRPr="00AE38CA">
        <w:rPr>
          <w:rFonts w:ascii="Verdana" w:eastAsia="Verdana" w:hAnsi="Verdana" w:cs="Verdana"/>
          <w:sz w:val="16"/>
          <w:szCs w:val="16"/>
          <w:lang w:val="nl-NL" w:bidi="en-GB"/>
        </w:rPr>
        <w:t xml:space="preserve"> </w:t>
      </w:r>
      <w:r w:rsidR="00F800F5" w:rsidRPr="00AE38CA">
        <w:rPr>
          <w:rFonts w:ascii="Verdana" w:eastAsia="Verdana" w:hAnsi="Verdana" w:cs="Verdana"/>
          <w:sz w:val="16"/>
          <w:szCs w:val="16"/>
          <w:lang w:val="nl-NL" w:bidi="en-GB"/>
        </w:rPr>
        <w:t>Julius op de Beke</w:t>
      </w:r>
    </w:p>
    <w:p w14:paraId="234C66ED" w14:textId="77777777" w:rsidR="00614DBA" w:rsidRPr="00AE38CA" w:rsidRDefault="00D2135F" w:rsidP="00614DBA">
      <w:pPr>
        <w:tabs>
          <w:tab w:val="left" w:pos="709"/>
        </w:tabs>
        <w:spacing w:after="120"/>
        <w:ind w:left="709" w:hanging="709"/>
        <w:jc w:val="left"/>
        <w:rPr>
          <w:rFonts w:ascii="Verdana" w:hAnsi="Verdana"/>
          <w:sz w:val="16"/>
          <w:szCs w:val="16"/>
          <w:lang w:val="nl-NL"/>
        </w:rPr>
      </w:pPr>
      <w:r w:rsidRPr="00AE38CA">
        <w:rPr>
          <w:rFonts w:ascii="Verdana" w:eastAsia="Verdana" w:hAnsi="Verdana" w:cs="Verdana"/>
          <w:i/>
          <w:sz w:val="16"/>
          <w:szCs w:val="16"/>
          <w:lang w:val="nl-NL" w:bidi="en-GB"/>
        </w:rPr>
        <w:t xml:space="preserve">E-mail: </w:t>
      </w:r>
      <w:r w:rsidR="001174CB">
        <w:fldChar w:fldCharType="begin"/>
      </w:r>
      <w:r w:rsidR="001174CB" w:rsidRPr="00EC2F20">
        <w:rPr>
          <w:lang w:val="nl-NL"/>
        </w:rPr>
        <w:instrText xml:space="preserve"> HYPERLINK "mailto:Julius.Opdebeke@ec.europa.eu" </w:instrText>
      </w:r>
      <w:r w:rsidR="001174CB">
        <w:fldChar w:fldCharType="separate"/>
      </w:r>
      <w:r w:rsidR="00F800F5" w:rsidRPr="00AE38CA">
        <w:rPr>
          <w:rStyle w:val="Hyperlink"/>
          <w:rFonts w:ascii="Verdana" w:eastAsia="Verdana" w:hAnsi="Verdana" w:cs="Verdana"/>
          <w:sz w:val="16"/>
          <w:szCs w:val="16"/>
          <w:lang w:val="nl-NL" w:bidi="en-GB"/>
        </w:rPr>
        <w:t>Julius.Opdebeke@ec.europa.eu</w:t>
      </w:r>
      <w:r w:rsidR="001174CB">
        <w:rPr>
          <w:rStyle w:val="Hyperlink"/>
          <w:rFonts w:ascii="Verdana" w:eastAsia="Verdana" w:hAnsi="Verdana" w:cs="Verdana"/>
          <w:sz w:val="16"/>
          <w:szCs w:val="16"/>
          <w:lang w:val="nl-NL" w:bidi="en-GB"/>
        </w:rPr>
        <w:fldChar w:fldCharType="end"/>
      </w:r>
      <w:r w:rsidR="00F800F5" w:rsidRPr="00AE38CA">
        <w:rPr>
          <w:rFonts w:ascii="Verdana" w:eastAsia="Verdana" w:hAnsi="Verdana" w:cs="Verdana"/>
          <w:sz w:val="16"/>
          <w:szCs w:val="16"/>
          <w:lang w:val="nl-NL" w:bidi="en-GB"/>
        </w:rPr>
        <w:t xml:space="preserve"> </w:t>
      </w:r>
      <w:r w:rsidR="006B6E6B" w:rsidRPr="00AE38CA">
        <w:rPr>
          <w:rFonts w:ascii="Verdana" w:eastAsia="Verdana" w:hAnsi="Verdana" w:cs="Verdana"/>
          <w:sz w:val="16"/>
          <w:szCs w:val="16"/>
          <w:lang w:val="nl-NL" w:bidi="en-GB"/>
        </w:rPr>
        <w:t xml:space="preserve"> </w:t>
      </w:r>
    </w:p>
    <w:p w14:paraId="45154499" w14:textId="77777777" w:rsidR="00614DBA" w:rsidRPr="00AE38CA" w:rsidRDefault="00D2135F" w:rsidP="00614DBA">
      <w:pPr>
        <w:spacing w:after="0"/>
        <w:jc w:val="left"/>
        <w:rPr>
          <w:rStyle w:val="BodyChar"/>
          <w:sz w:val="16"/>
          <w:szCs w:val="16"/>
          <w:lang w:val="en-GB"/>
        </w:rPr>
      </w:pPr>
      <w:r w:rsidRPr="00AE38CA">
        <w:rPr>
          <w:rFonts w:ascii="Verdana" w:eastAsia="Verdana" w:hAnsi="Verdana" w:cs="Verdana"/>
          <w:i/>
          <w:iCs/>
          <w:sz w:val="16"/>
          <w:szCs w:val="16"/>
          <w:lang w:bidi="en-GB"/>
        </w:rPr>
        <w:t>European Commission</w:t>
      </w:r>
      <w:r w:rsidRPr="00AE38CA">
        <w:rPr>
          <w:rFonts w:ascii="Verdana" w:eastAsia="Verdana" w:hAnsi="Verdana" w:cs="Verdana"/>
          <w:i/>
          <w:iCs/>
          <w:sz w:val="16"/>
          <w:szCs w:val="16"/>
          <w:lang w:bidi="en-GB"/>
        </w:rPr>
        <w:br/>
        <w:t>B-1049 Brussels</w:t>
      </w:r>
    </w:p>
    <w:p w14:paraId="5BF58BC1" w14:textId="77777777" w:rsidR="00B63628" w:rsidRPr="00AE38CA" w:rsidRDefault="00B63628" w:rsidP="008F5DE4">
      <w:pPr>
        <w:pStyle w:val="Plattetekst"/>
        <w:sectPr w:rsidR="00B63628" w:rsidRPr="00AE38CA" w:rsidSect="00357045">
          <w:headerReference w:type="first" r:id="rId23"/>
          <w:footerReference w:type="first" r:id="rId24"/>
          <w:pgSz w:w="11907" w:h="16839" w:code="9"/>
          <w:pgMar w:top="1418" w:right="1418" w:bottom="851" w:left="1701" w:header="567" w:footer="493" w:gutter="0"/>
          <w:cols w:space="720"/>
          <w:titlePg/>
          <w:docGrid w:linePitch="326"/>
        </w:sectPr>
      </w:pPr>
    </w:p>
    <w:p w14:paraId="75FF53B6" w14:textId="77777777" w:rsidR="00DF2EB5" w:rsidRPr="00AE38CA" w:rsidRDefault="00DF2EB5" w:rsidP="00DF2EB5">
      <w:pPr>
        <w:tabs>
          <w:tab w:val="right" w:pos="8280"/>
        </w:tabs>
        <w:ind w:right="-22"/>
        <w:jc w:val="left"/>
        <w:rPr>
          <w:rFonts w:ascii="Verdana" w:hAnsi="Verdana"/>
          <w:caps/>
          <w:sz w:val="20"/>
        </w:rPr>
      </w:pPr>
    </w:p>
    <w:p w14:paraId="5F3B5CD5" w14:textId="77777777" w:rsidR="00DF2EB5" w:rsidRPr="00AE38CA" w:rsidRDefault="00DF2EB5" w:rsidP="00DF2EB5">
      <w:pPr>
        <w:tabs>
          <w:tab w:val="right" w:pos="8280"/>
        </w:tabs>
        <w:ind w:right="-22"/>
        <w:jc w:val="left"/>
        <w:rPr>
          <w:rFonts w:ascii="Verdana" w:hAnsi="Verdana"/>
          <w:caps/>
          <w:sz w:val="20"/>
        </w:rPr>
      </w:pPr>
    </w:p>
    <w:p w14:paraId="036550FE" w14:textId="77777777" w:rsidR="00DF2EB5" w:rsidRPr="00AE38CA" w:rsidRDefault="00DF2EB5" w:rsidP="00DF2EB5">
      <w:pPr>
        <w:tabs>
          <w:tab w:val="right" w:pos="8280"/>
        </w:tabs>
        <w:ind w:right="-22"/>
        <w:jc w:val="left"/>
        <w:rPr>
          <w:rFonts w:ascii="Verdana" w:hAnsi="Verdana"/>
          <w:caps/>
          <w:sz w:val="20"/>
        </w:rPr>
      </w:pPr>
    </w:p>
    <w:p w14:paraId="60E0CC2E" w14:textId="77777777" w:rsidR="00DF2EB5" w:rsidRPr="00AE38CA" w:rsidRDefault="00DF2EB5" w:rsidP="00DF2EB5">
      <w:pPr>
        <w:tabs>
          <w:tab w:val="right" w:pos="8280"/>
        </w:tabs>
        <w:ind w:right="-22"/>
        <w:jc w:val="left"/>
        <w:rPr>
          <w:rFonts w:ascii="Verdana" w:hAnsi="Verdana"/>
          <w:caps/>
          <w:sz w:val="20"/>
        </w:rPr>
      </w:pPr>
    </w:p>
    <w:p w14:paraId="2B05EB7C" w14:textId="77777777" w:rsidR="00DF2EB5" w:rsidRPr="00AE38CA" w:rsidRDefault="00DF2EB5" w:rsidP="00DF2EB5">
      <w:pPr>
        <w:tabs>
          <w:tab w:val="right" w:pos="8280"/>
        </w:tabs>
        <w:ind w:right="-22"/>
        <w:jc w:val="left"/>
        <w:rPr>
          <w:rFonts w:ascii="Verdana" w:hAnsi="Verdana"/>
          <w:caps/>
          <w:sz w:val="20"/>
        </w:rPr>
      </w:pPr>
    </w:p>
    <w:p w14:paraId="1D27C7AB" w14:textId="77777777" w:rsidR="00DF2EB5" w:rsidRPr="00AE38CA" w:rsidRDefault="00DF2EB5" w:rsidP="00DF2EB5">
      <w:pPr>
        <w:pStyle w:val="Titel"/>
        <w:rPr>
          <w:rFonts w:eastAsia="Verdana" w:cs="Verdana"/>
          <w:bCs/>
          <w:sz w:val="44"/>
          <w:szCs w:val="44"/>
          <w:lang w:bidi="en-GB"/>
        </w:rPr>
      </w:pPr>
      <w:r w:rsidRPr="00AE38CA">
        <w:rPr>
          <w:rFonts w:eastAsia="Verdana" w:cs="Verdana"/>
          <w:bCs/>
          <w:sz w:val="44"/>
          <w:szCs w:val="44"/>
          <w:lang w:bidi="en-GB"/>
        </w:rPr>
        <w:t xml:space="preserve">Feasibility Study for a Child Guarantee </w:t>
      </w:r>
    </w:p>
    <w:p w14:paraId="1A23B9E0" w14:textId="77777777" w:rsidR="00DF2EB5" w:rsidRPr="00AE38CA" w:rsidRDefault="00DF2EB5" w:rsidP="00DF2EB5">
      <w:pPr>
        <w:rPr>
          <w:rFonts w:eastAsia="Verdana"/>
          <w:sz w:val="44"/>
          <w:szCs w:val="44"/>
          <w:lang w:bidi="en-GB"/>
        </w:rPr>
      </w:pPr>
    </w:p>
    <w:p w14:paraId="679E762D" w14:textId="77777777" w:rsidR="00AD5B17" w:rsidRPr="00AE38CA" w:rsidRDefault="00AD5B17" w:rsidP="00DF2EB5">
      <w:pPr>
        <w:rPr>
          <w:rFonts w:eastAsia="Verdana"/>
          <w:sz w:val="44"/>
          <w:szCs w:val="44"/>
          <w:lang w:bidi="en-GB"/>
        </w:rPr>
      </w:pPr>
    </w:p>
    <w:p w14:paraId="45289834" w14:textId="77777777" w:rsidR="00DF2EB5" w:rsidRPr="00AE38CA" w:rsidRDefault="00DF2EB5" w:rsidP="00DF2EB5">
      <w:pPr>
        <w:pStyle w:val="Title2"/>
        <w:rPr>
          <w:sz w:val="44"/>
          <w:szCs w:val="44"/>
        </w:rPr>
      </w:pPr>
      <w:r w:rsidRPr="00AE38CA">
        <w:rPr>
          <w:sz w:val="44"/>
          <w:szCs w:val="44"/>
        </w:rPr>
        <w:t xml:space="preserve">Country report </w:t>
      </w:r>
      <w:r w:rsidR="00937BF9" w:rsidRPr="00AE38CA">
        <w:rPr>
          <w:sz w:val="44"/>
          <w:szCs w:val="44"/>
        </w:rPr>
        <w:t>–</w:t>
      </w:r>
      <w:r w:rsidRPr="00AE38CA">
        <w:rPr>
          <w:sz w:val="44"/>
          <w:szCs w:val="44"/>
        </w:rPr>
        <w:t xml:space="preserve"> </w:t>
      </w:r>
      <w:r w:rsidR="00EF11BF" w:rsidRPr="00AE38CA">
        <w:rPr>
          <w:sz w:val="44"/>
          <w:szCs w:val="44"/>
        </w:rPr>
        <w:t>the Netherlands</w:t>
      </w:r>
    </w:p>
    <w:p w14:paraId="4163E665" w14:textId="77777777" w:rsidR="00DF2EB5" w:rsidRPr="00AE38CA" w:rsidRDefault="00DF2EB5" w:rsidP="00DF2EB5">
      <w:pPr>
        <w:pStyle w:val="Title2"/>
        <w:rPr>
          <w:sz w:val="40"/>
          <w:szCs w:val="40"/>
        </w:rPr>
      </w:pPr>
      <w:r w:rsidRPr="00AE38CA">
        <w:rPr>
          <w:sz w:val="40"/>
          <w:szCs w:val="40"/>
        </w:rPr>
        <w:t>2019</w:t>
      </w:r>
    </w:p>
    <w:p w14:paraId="308A92EC" w14:textId="77777777" w:rsidR="00B63628" w:rsidRPr="00AE38CA" w:rsidRDefault="00B63628" w:rsidP="00B63628">
      <w:pPr>
        <w:pStyle w:val="Heading"/>
      </w:pPr>
    </w:p>
    <w:p w14:paraId="4F334698" w14:textId="77777777" w:rsidR="00DF2EB5" w:rsidRPr="00AE38CA" w:rsidRDefault="00DF2EB5" w:rsidP="00B63628">
      <w:pPr>
        <w:pStyle w:val="Heading"/>
        <w:sectPr w:rsidR="00DF2EB5" w:rsidRPr="00AE38CA" w:rsidSect="00C10642">
          <w:headerReference w:type="first" r:id="rId25"/>
          <w:footerReference w:type="first" r:id="rId26"/>
          <w:pgSz w:w="11907" w:h="16839" w:code="9"/>
          <w:pgMar w:top="1418" w:right="1418" w:bottom="851" w:left="1418" w:header="567" w:footer="493" w:gutter="0"/>
          <w:cols w:space="720"/>
          <w:titlePg/>
          <w:docGrid w:linePitch="326"/>
        </w:sectPr>
      </w:pPr>
    </w:p>
    <w:p w14:paraId="7D280D68" w14:textId="3BA7A69A" w:rsidR="0082580A" w:rsidRPr="00AE38CA" w:rsidRDefault="0082580A" w:rsidP="0082580A">
      <w:pPr>
        <w:spacing w:after="0"/>
        <w:rPr>
          <w:rFonts w:ascii="Verdana" w:hAnsi="Verdana"/>
          <w:sz w:val="18"/>
          <w:szCs w:val="18"/>
        </w:rPr>
      </w:pPr>
      <w:r w:rsidRPr="00AE38CA">
        <w:rPr>
          <w:rFonts w:ascii="Verdana" w:hAnsi="Verdana"/>
          <w:sz w:val="18"/>
          <w:szCs w:val="18"/>
        </w:rPr>
        <w:lastRenderedPageBreak/>
        <w:t>In 2015, the European Parliament called on the European Commission and the European Union Member States, “in view of the weakening of public services, to introduce a Child Guarantee so that every child in poverty can have access to free health</w:t>
      </w:r>
      <w:r w:rsidR="00476870" w:rsidRPr="00AE38CA">
        <w:rPr>
          <w:rFonts w:ascii="Verdana" w:hAnsi="Verdana"/>
          <w:sz w:val="18"/>
          <w:szCs w:val="18"/>
        </w:rPr>
        <w:t xml:space="preserve"> </w:t>
      </w:r>
      <w:r w:rsidRPr="00AE38CA">
        <w:rPr>
          <w:rFonts w:ascii="Verdana" w:hAnsi="Verdana"/>
          <w:sz w:val="18"/>
          <w:szCs w:val="18"/>
        </w:rPr>
        <w:t>care, free education, free childcare, decent housing and adequate nutrition, as part of a European integrated plan to combat child poverty”.</w:t>
      </w:r>
      <w:r w:rsidR="00A96075" w:rsidRPr="00AE38CA">
        <w:rPr>
          <w:rFonts w:ascii="Verdana" w:hAnsi="Verdana"/>
          <w:sz w:val="18"/>
          <w:szCs w:val="18"/>
        </w:rPr>
        <w:t xml:space="preserve"> </w:t>
      </w:r>
      <w:r w:rsidRPr="00AE38CA">
        <w:rPr>
          <w:rFonts w:ascii="Verdana" w:hAnsi="Verdana"/>
          <w:sz w:val="18"/>
          <w:szCs w:val="18"/>
        </w:rPr>
        <w:t>Following the subsequent request by the Parliament to the Commission to implement a Preparatory Action to explore the potential scope of a Child Guarantee for vulnerable children, the Commission ordered a study to analyse the feasibility of such a scheme.</w:t>
      </w:r>
    </w:p>
    <w:p w14:paraId="049746F8" w14:textId="77777777" w:rsidR="0082580A" w:rsidRPr="00AE38CA" w:rsidRDefault="0082580A" w:rsidP="0082580A">
      <w:pPr>
        <w:spacing w:after="0"/>
        <w:rPr>
          <w:rFonts w:ascii="Verdana" w:hAnsi="Verdana"/>
          <w:sz w:val="18"/>
          <w:szCs w:val="18"/>
        </w:rPr>
      </w:pPr>
    </w:p>
    <w:p w14:paraId="3A8A590F" w14:textId="77777777" w:rsidR="00B63628" w:rsidRPr="00AE38CA" w:rsidRDefault="0082580A" w:rsidP="0082580A">
      <w:pPr>
        <w:spacing w:after="0"/>
        <w:rPr>
          <w:rFonts w:ascii="Verdana" w:hAnsi="Verdana"/>
          <w:sz w:val="18"/>
          <w:szCs w:val="18"/>
        </w:rPr>
      </w:pPr>
      <w:r w:rsidRPr="00AE38CA">
        <w:rPr>
          <w:rFonts w:ascii="Verdana" w:hAnsi="Verdana"/>
          <w:sz w:val="18"/>
          <w:szCs w:val="18"/>
        </w:rPr>
        <w:t>The feasibility study for a Child Guarantee is carried out by a consortium consisting of Applica and the Luxembourg Institute of Socio-Economic Research (LISER), in close collaboration with Eurochild and Save the Children, and with the support of nine thematic experts, 28 national experts and an independent study editor.</w:t>
      </w:r>
    </w:p>
    <w:p w14:paraId="68875A6E" w14:textId="77777777" w:rsidR="0082580A" w:rsidRPr="00AE38CA" w:rsidRDefault="0082580A" w:rsidP="00B63628">
      <w:pPr>
        <w:spacing w:after="0"/>
        <w:jc w:val="left"/>
        <w:rPr>
          <w:rFonts w:ascii="Verdana" w:hAnsi="Verdana"/>
          <w:sz w:val="18"/>
          <w:szCs w:val="18"/>
        </w:rPr>
      </w:pPr>
    </w:p>
    <w:p w14:paraId="2BA520D4" w14:textId="77777777" w:rsidR="00B63628" w:rsidRPr="00AE38CA" w:rsidRDefault="00B63628" w:rsidP="00B63628">
      <w:pPr>
        <w:spacing w:after="0"/>
        <w:jc w:val="left"/>
        <w:rPr>
          <w:rFonts w:ascii="Verdana" w:hAnsi="Verdana"/>
          <w:sz w:val="18"/>
          <w:szCs w:val="18"/>
        </w:rPr>
      </w:pPr>
      <w:r w:rsidRPr="00AE38CA">
        <w:rPr>
          <w:rFonts w:ascii="Verdana" w:hAnsi="Verdana"/>
          <w:sz w:val="18"/>
          <w:szCs w:val="18"/>
        </w:rPr>
        <w:t xml:space="preserve">For more information on the </w:t>
      </w:r>
      <w:r w:rsidR="0082580A" w:rsidRPr="00AE38CA">
        <w:rPr>
          <w:rFonts w:ascii="Verdana" w:hAnsi="Verdana"/>
          <w:sz w:val="18"/>
          <w:szCs w:val="18"/>
        </w:rPr>
        <w:t>feasibility study for a Child Guarantee</w:t>
      </w:r>
      <w:r w:rsidRPr="00AE38CA">
        <w:rPr>
          <w:rFonts w:ascii="Verdana" w:hAnsi="Verdana"/>
          <w:sz w:val="18"/>
          <w:szCs w:val="18"/>
        </w:rPr>
        <w:t>, see:</w:t>
      </w:r>
      <w:r w:rsidR="00B43622" w:rsidRPr="00AE38CA">
        <w:rPr>
          <w:rFonts w:ascii="Verdana" w:hAnsi="Verdana"/>
          <w:sz w:val="18"/>
          <w:szCs w:val="18"/>
        </w:rPr>
        <w:t xml:space="preserve"> </w:t>
      </w:r>
      <w:hyperlink r:id="rId27" w:history="1">
        <w:r w:rsidR="0082580A" w:rsidRPr="00AE38CA">
          <w:rPr>
            <w:rStyle w:val="Hyperlink"/>
            <w:rFonts w:ascii="Verdana" w:hAnsi="Verdana"/>
            <w:sz w:val="18"/>
            <w:szCs w:val="18"/>
          </w:rPr>
          <w:t>https://ec.europa.eu/social/main.jsp?catId=1428&amp;langId=en</w:t>
        </w:r>
      </w:hyperlink>
      <w:r w:rsidR="0082580A" w:rsidRPr="00AE38CA">
        <w:rPr>
          <w:rFonts w:ascii="Verdana" w:hAnsi="Verdana"/>
          <w:sz w:val="18"/>
          <w:szCs w:val="18"/>
        </w:rPr>
        <w:t xml:space="preserve"> </w:t>
      </w:r>
      <w:r w:rsidRPr="00AE38CA">
        <w:rPr>
          <w:rFonts w:ascii="Verdana" w:hAnsi="Verdana"/>
          <w:sz w:val="18"/>
          <w:szCs w:val="18"/>
        </w:rPr>
        <w:t xml:space="preserve"> </w:t>
      </w:r>
    </w:p>
    <w:p w14:paraId="78E929F2" w14:textId="77777777" w:rsidR="00B63628" w:rsidRPr="00AE38CA" w:rsidRDefault="00B63628" w:rsidP="00B63628">
      <w:pPr>
        <w:spacing w:after="0"/>
        <w:jc w:val="left"/>
        <w:rPr>
          <w:rFonts w:ascii="Verdana" w:hAnsi="Verdana"/>
          <w:sz w:val="18"/>
          <w:szCs w:val="18"/>
        </w:rPr>
      </w:pPr>
    </w:p>
    <w:p w14:paraId="23FB2D50" w14:textId="77777777" w:rsidR="00B63628" w:rsidRPr="00AE38CA" w:rsidRDefault="00B63628" w:rsidP="00B63628">
      <w:pPr>
        <w:rPr>
          <w:rFonts w:ascii="Verdana" w:hAnsi="Verdana"/>
          <w:sz w:val="16"/>
          <w:szCs w:val="16"/>
        </w:rPr>
      </w:pPr>
    </w:p>
    <w:p w14:paraId="76062E66" w14:textId="77777777" w:rsidR="00B63628" w:rsidRPr="00AE38CA" w:rsidRDefault="00B63628" w:rsidP="00B63628">
      <w:pPr>
        <w:rPr>
          <w:rFonts w:ascii="Verdana" w:hAnsi="Verdana"/>
          <w:sz w:val="16"/>
          <w:szCs w:val="16"/>
        </w:rPr>
      </w:pPr>
    </w:p>
    <w:p w14:paraId="662F052D" w14:textId="77777777" w:rsidR="00B63628" w:rsidRPr="00AE38CA" w:rsidRDefault="00B63628" w:rsidP="00B63628">
      <w:pPr>
        <w:rPr>
          <w:rFonts w:ascii="Verdana" w:hAnsi="Verdana"/>
          <w:sz w:val="16"/>
          <w:szCs w:val="16"/>
        </w:rPr>
      </w:pPr>
    </w:p>
    <w:p w14:paraId="34E66E95" w14:textId="77777777" w:rsidR="00B63628" w:rsidRPr="00AE38CA" w:rsidRDefault="00B63628" w:rsidP="00B63628">
      <w:pPr>
        <w:rPr>
          <w:rFonts w:ascii="Verdana" w:hAnsi="Verdana"/>
          <w:sz w:val="16"/>
          <w:szCs w:val="16"/>
        </w:rPr>
      </w:pPr>
    </w:p>
    <w:p w14:paraId="072D1ECD" w14:textId="77777777" w:rsidR="00B63628" w:rsidRPr="00AE38CA" w:rsidRDefault="00B63628" w:rsidP="00B63628">
      <w:pPr>
        <w:rPr>
          <w:rFonts w:ascii="Verdana" w:hAnsi="Verdana"/>
          <w:sz w:val="16"/>
          <w:szCs w:val="16"/>
        </w:rPr>
      </w:pPr>
    </w:p>
    <w:p w14:paraId="69035BB0" w14:textId="77777777" w:rsidR="00B63628" w:rsidRPr="00AE38CA" w:rsidRDefault="00B63628" w:rsidP="00B63628">
      <w:pPr>
        <w:rPr>
          <w:rFonts w:ascii="Verdana" w:hAnsi="Verdana"/>
          <w:sz w:val="16"/>
          <w:szCs w:val="16"/>
        </w:rPr>
      </w:pPr>
    </w:p>
    <w:p w14:paraId="40E15823" w14:textId="77777777" w:rsidR="00B63628" w:rsidRPr="00AE38CA" w:rsidRDefault="00B63628" w:rsidP="00B63628">
      <w:pPr>
        <w:rPr>
          <w:rFonts w:ascii="Verdana" w:hAnsi="Verdana"/>
          <w:sz w:val="16"/>
          <w:szCs w:val="16"/>
        </w:rPr>
      </w:pPr>
    </w:p>
    <w:p w14:paraId="1FFF1175" w14:textId="77777777" w:rsidR="00B63628" w:rsidRPr="00AE38CA" w:rsidRDefault="00B63628" w:rsidP="00B63628">
      <w:pPr>
        <w:rPr>
          <w:rFonts w:ascii="Verdana" w:hAnsi="Verdana"/>
          <w:sz w:val="16"/>
          <w:szCs w:val="16"/>
        </w:rPr>
      </w:pPr>
    </w:p>
    <w:p w14:paraId="174D67B5" w14:textId="77777777" w:rsidR="00B63628" w:rsidRPr="00AE38CA" w:rsidRDefault="00B63628" w:rsidP="00B63628">
      <w:pPr>
        <w:rPr>
          <w:rFonts w:ascii="Verdana" w:hAnsi="Verdana"/>
          <w:sz w:val="16"/>
          <w:szCs w:val="16"/>
        </w:rPr>
      </w:pPr>
    </w:p>
    <w:p w14:paraId="0F90590F" w14:textId="77777777" w:rsidR="00B63628" w:rsidRPr="00AE38CA" w:rsidRDefault="00B63628" w:rsidP="00B63628">
      <w:pPr>
        <w:rPr>
          <w:rFonts w:ascii="Verdana" w:hAnsi="Verdana"/>
          <w:sz w:val="16"/>
          <w:szCs w:val="16"/>
        </w:rPr>
      </w:pPr>
    </w:p>
    <w:tbl>
      <w:tblPr>
        <w:tblpPr w:leftFromText="180" w:rightFromText="180" w:vertAnchor="text" w:horzAnchor="margin" w:tblpXSpec="center" w:tblpY="14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6"/>
      </w:tblGrid>
      <w:tr w:rsidR="00B63628" w:rsidRPr="00AE38CA" w14:paraId="39B47635" w14:textId="77777777" w:rsidTr="00357045">
        <w:trPr>
          <w:trHeight w:val="2263"/>
          <w:jc w:val="center"/>
        </w:trPr>
        <w:tc>
          <w:tcPr>
            <w:tcW w:w="7376" w:type="dxa"/>
            <w:tcMar>
              <w:left w:w="0" w:type="dxa"/>
              <w:right w:w="0" w:type="dxa"/>
            </w:tcMar>
          </w:tcPr>
          <w:p w14:paraId="2FB540CF" w14:textId="77777777" w:rsidR="00B63628" w:rsidRPr="00AE38CA" w:rsidRDefault="00B63628" w:rsidP="00357045">
            <w:pPr>
              <w:spacing w:before="80"/>
              <w:jc w:val="center"/>
              <w:rPr>
                <w:rFonts w:ascii="Verdana" w:hAnsi="Verdana"/>
                <w:noProof/>
                <w:sz w:val="20"/>
              </w:rPr>
            </w:pPr>
            <w:r w:rsidRPr="00AE38CA">
              <w:rPr>
                <w:rFonts w:ascii="Verdana" w:hAnsi="Verdana"/>
                <w:b/>
                <w:i/>
                <w:noProof/>
                <w:sz w:val="20"/>
              </w:rPr>
              <w:t xml:space="preserve">Europe Direct is a service to help you find answers </w:t>
            </w:r>
            <w:r w:rsidRPr="00AE38CA">
              <w:rPr>
                <w:rFonts w:ascii="Verdana" w:hAnsi="Verdana"/>
                <w:noProof/>
                <w:sz w:val="20"/>
              </w:rPr>
              <w:br/>
            </w:r>
            <w:r w:rsidRPr="00AE38CA">
              <w:rPr>
                <w:rFonts w:ascii="Verdana" w:hAnsi="Verdana"/>
                <w:b/>
                <w:i/>
                <w:noProof/>
                <w:sz w:val="20"/>
              </w:rPr>
              <w:t>to your questions about the European Union.</w:t>
            </w:r>
          </w:p>
          <w:p w14:paraId="57840D0E" w14:textId="77777777" w:rsidR="00B63628" w:rsidRPr="00AE38CA" w:rsidRDefault="00B63628" w:rsidP="00357045">
            <w:pPr>
              <w:jc w:val="center"/>
              <w:rPr>
                <w:rFonts w:ascii="Verdana" w:hAnsi="Verdana"/>
                <w:noProof/>
                <w:sz w:val="20"/>
              </w:rPr>
            </w:pPr>
            <w:r w:rsidRPr="00AE38CA">
              <w:rPr>
                <w:rFonts w:ascii="Verdana" w:hAnsi="Verdana"/>
                <w:b/>
                <w:noProof/>
                <w:sz w:val="20"/>
              </w:rPr>
              <w:t>Freephone number</w:t>
            </w:r>
            <w:r w:rsidRPr="00AE38CA">
              <w:rPr>
                <w:rFonts w:ascii="Verdana" w:hAnsi="Verdana"/>
                <w:noProof/>
                <w:sz w:val="20"/>
              </w:rPr>
              <w:t xml:space="preserve"> (*)</w:t>
            </w:r>
            <w:r w:rsidRPr="00AE38CA">
              <w:rPr>
                <w:rFonts w:ascii="Verdana" w:hAnsi="Verdana"/>
                <w:b/>
                <w:noProof/>
                <w:sz w:val="20"/>
              </w:rPr>
              <w:t>:</w:t>
            </w:r>
          </w:p>
          <w:p w14:paraId="7FF5B357" w14:textId="77777777" w:rsidR="00B63628" w:rsidRPr="00AE38CA" w:rsidRDefault="00B63628" w:rsidP="00357045">
            <w:pPr>
              <w:jc w:val="center"/>
              <w:rPr>
                <w:rFonts w:ascii="Verdana" w:hAnsi="Verdana"/>
                <w:noProof/>
                <w:sz w:val="20"/>
              </w:rPr>
            </w:pPr>
            <w:r w:rsidRPr="00AE38CA">
              <w:rPr>
                <w:rFonts w:ascii="Verdana" w:hAnsi="Verdana"/>
                <w:b/>
                <w:noProof/>
                <w:sz w:val="28"/>
              </w:rPr>
              <w:t>00 800 6 7 8 9 10 11</w:t>
            </w:r>
          </w:p>
          <w:p w14:paraId="0FEE07F8" w14:textId="77777777" w:rsidR="00B63628" w:rsidRPr="00AE38CA" w:rsidRDefault="001174CB" w:rsidP="00357045">
            <w:pPr>
              <w:spacing w:before="120" w:after="60"/>
              <w:ind w:left="397" w:right="170" w:hanging="227"/>
              <w:rPr>
                <w:rFonts w:ascii="Verdana" w:hAnsi="Verdana"/>
                <w:noProof/>
              </w:rPr>
            </w:pPr>
            <w:hyperlink r:id="rId28" w:anchor="note1#note1" w:tooltip="Back to the text" w:history="1">
              <w:r w:rsidR="00B63628" w:rsidRPr="00AE38CA">
                <w:rPr>
                  <w:rFonts w:ascii="Verdana" w:hAnsi="Verdana" w:cs="Arial"/>
                  <w:sz w:val="16"/>
                  <w:szCs w:val="16"/>
                </w:rPr>
                <w:t>(*)</w:t>
              </w:r>
            </w:hyperlink>
            <w:r w:rsidR="00B63628" w:rsidRPr="00AE38CA">
              <w:rPr>
                <w:rFonts w:ascii="Verdana" w:hAnsi="Verdana" w:cs="Arial"/>
                <w:sz w:val="16"/>
                <w:szCs w:val="16"/>
              </w:rPr>
              <w:tab/>
              <w:t>The information given is free, as are most calls (though some operators, phone boxes or hotels may charge you).</w:t>
            </w:r>
          </w:p>
        </w:tc>
      </w:tr>
    </w:tbl>
    <w:p w14:paraId="5B27A32C" w14:textId="77777777" w:rsidR="00B63628" w:rsidRPr="00AE38CA" w:rsidRDefault="00B63628" w:rsidP="00B63628">
      <w:pPr>
        <w:rPr>
          <w:rFonts w:ascii="Verdana" w:hAnsi="Verdana"/>
          <w:sz w:val="16"/>
          <w:szCs w:val="16"/>
        </w:rPr>
      </w:pPr>
    </w:p>
    <w:p w14:paraId="1AABB99C" w14:textId="77777777" w:rsidR="00B63628" w:rsidRPr="00AE38CA" w:rsidRDefault="00B63628" w:rsidP="00B63628">
      <w:pPr>
        <w:rPr>
          <w:rFonts w:ascii="Verdana" w:hAnsi="Verdana"/>
          <w:sz w:val="16"/>
          <w:szCs w:val="16"/>
        </w:rPr>
      </w:pPr>
    </w:p>
    <w:p w14:paraId="48FC5B5B" w14:textId="77777777" w:rsidR="00B63628" w:rsidRPr="00AE38CA" w:rsidRDefault="00B63628" w:rsidP="00B63628">
      <w:pPr>
        <w:rPr>
          <w:rFonts w:ascii="Verdana" w:hAnsi="Verdana"/>
          <w:sz w:val="16"/>
          <w:szCs w:val="16"/>
        </w:rPr>
      </w:pPr>
    </w:p>
    <w:p w14:paraId="1449890E" w14:textId="77777777" w:rsidR="00B63628" w:rsidRPr="00AE38CA" w:rsidRDefault="00B63628" w:rsidP="00B63628">
      <w:pPr>
        <w:rPr>
          <w:rFonts w:ascii="Verdana" w:hAnsi="Verdana"/>
          <w:sz w:val="16"/>
          <w:szCs w:val="16"/>
        </w:rPr>
      </w:pPr>
    </w:p>
    <w:p w14:paraId="641B8D24" w14:textId="77777777" w:rsidR="00B63628" w:rsidRPr="00AE38CA" w:rsidRDefault="00B63628" w:rsidP="00B63628">
      <w:pPr>
        <w:rPr>
          <w:rFonts w:ascii="Verdana" w:hAnsi="Verdana"/>
          <w:sz w:val="16"/>
          <w:szCs w:val="16"/>
        </w:rPr>
      </w:pPr>
    </w:p>
    <w:p w14:paraId="10027A9E" w14:textId="77777777" w:rsidR="00B63628" w:rsidRPr="00AE38CA" w:rsidRDefault="00B63628" w:rsidP="00B63628">
      <w:pPr>
        <w:rPr>
          <w:rFonts w:ascii="Verdana" w:hAnsi="Verdana"/>
          <w:sz w:val="16"/>
          <w:szCs w:val="16"/>
        </w:rPr>
      </w:pPr>
    </w:p>
    <w:p w14:paraId="4A26BF63" w14:textId="77777777" w:rsidR="00B63628" w:rsidRPr="00AE38CA" w:rsidRDefault="00B63628" w:rsidP="00B63628">
      <w:pPr>
        <w:spacing w:after="0"/>
        <w:rPr>
          <w:rFonts w:ascii="Verdana" w:hAnsi="Verdana"/>
          <w:sz w:val="16"/>
          <w:szCs w:val="16"/>
        </w:rPr>
      </w:pPr>
    </w:p>
    <w:p w14:paraId="4B891773" w14:textId="77777777" w:rsidR="00B63628" w:rsidRPr="00AE38CA" w:rsidRDefault="00B63628" w:rsidP="00B63628">
      <w:pPr>
        <w:spacing w:after="120"/>
        <w:rPr>
          <w:rFonts w:ascii="Verdana" w:hAnsi="Verdana"/>
          <w:b/>
          <w:sz w:val="18"/>
          <w:szCs w:val="18"/>
        </w:rPr>
      </w:pPr>
    </w:p>
    <w:p w14:paraId="6555727D" w14:textId="77777777" w:rsidR="00B63628" w:rsidRPr="00AE38CA" w:rsidRDefault="00B63628" w:rsidP="00B63628">
      <w:pPr>
        <w:spacing w:after="120"/>
        <w:rPr>
          <w:rFonts w:ascii="Verdana" w:hAnsi="Verdana"/>
          <w:b/>
          <w:sz w:val="18"/>
          <w:szCs w:val="18"/>
        </w:rPr>
      </w:pPr>
    </w:p>
    <w:p w14:paraId="1A160BD7" w14:textId="77777777" w:rsidR="005A2CBA" w:rsidRPr="00AE38CA" w:rsidRDefault="005A2CBA" w:rsidP="00B63628">
      <w:pPr>
        <w:spacing w:after="120"/>
        <w:rPr>
          <w:rFonts w:ascii="Verdana" w:hAnsi="Verdana"/>
          <w:b/>
          <w:sz w:val="18"/>
          <w:szCs w:val="18"/>
        </w:rPr>
      </w:pPr>
    </w:p>
    <w:p w14:paraId="5AD0F632" w14:textId="77777777" w:rsidR="002D07D9" w:rsidRPr="00AE38CA" w:rsidRDefault="002D07D9" w:rsidP="00B63628">
      <w:pPr>
        <w:spacing w:after="120"/>
        <w:rPr>
          <w:rFonts w:ascii="Verdana" w:hAnsi="Verdana"/>
          <w:b/>
          <w:sz w:val="18"/>
          <w:szCs w:val="18"/>
        </w:rPr>
      </w:pPr>
    </w:p>
    <w:p w14:paraId="1D81B3C2" w14:textId="77777777" w:rsidR="00363B4F" w:rsidRPr="00AE38CA" w:rsidRDefault="00363B4F" w:rsidP="00B63628">
      <w:pPr>
        <w:spacing w:after="120"/>
        <w:rPr>
          <w:rFonts w:ascii="Verdana" w:hAnsi="Verdana"/>
          <w:b/>
          <w:sz w:val="18"/>
          <w:szCs w:val="18"/>
        </w:rPr>
      </w:pPr>
    </w:p>
    <w:p w14:paraId="13D9D9EB" w14:textId="77777777" w:rsidR="00B63628" w:rsidRPr="00AE38CA" w:rsidRDefault="00B63628" w:rsidP="00B63628">
      <w:pPr>
        <w:spacing w:after="120"/>
        <w:rPr>
          <w:rFonts w:ascii="Verdana" w:hAnsi="Verdana"/>
          <w:b/>
          <w:sz w:val="18"/>
          <w:szCs w:val="18"/>
        </w:rPr>
      </w:pPr>
      <w:r w:rsidRPr="00AE38CA">
        <w:rPr>
          <w:rFonts w:ascii="Verdana" w:hAnsi="Verdana"/>
          <w:b/>
          <w:sz w:val="18"/>
          <w:szCs w:val="18"/>
        </w:rPr>
        <w:t>LEGAL NOTICE</w:t>
      </w:r>
    </w:p>
    <w:p w14:paraId="2789C7F1" w14:textId="77777777" w:rsidR="00B63628" w:rsidRPr="00AE38CA" w:rsidRDefault="00B63628" w:rsidP="00B63628">
      <w:pPr>
        <w:jc w:val="left"/>
        <w:rPr>
          <w:rFonts w:ascii="Verdana" w:hAnsi="Verdana"/>
          <w:sz w:val="16"/>
          <w:szCs w:val="16"/>
        </w:rPr>
      </w:pPr>
      <w:r w:rsidRPr="00AE38CA">
        <w:rPr>
          <w:rFonts w:ascii="Verdana" w:hAnsi="Verdana"/>
          <w:sz w:val="16"/>
          <w:szCs w:val="16"/>
        </w:rPr>
        <w:t>This document has been prepared for the European Commission, however it reflects the views only of the authors, and the Commission cannot be held responsible for any use which may be made of the information contained therein.</w:t>
      </w:r>
    </w:p>
    <w:p w14:paraId="6BC82B89" w14:textId="77777777" w:rsidR="00B63628" w:rsidRPr="00AE38CA" w:rsidRDefault="00B63628" w:rsidP="00B63628">
      <w:pPr>
        <w:jc w:val="left"/>
        <w:rPr>
          <w:rFonts w:ascii="Verdana" w:hAnsi="Verdana"/>
          <w:sz w:val="16"/>
          <w:szCs w:val="16"/>
        </w:rPr>
      </w:pPr>
      <w:r w:rsidRPr="00AE38CA">
        <w:rPr>
          <w:rFonts w:ascii="Verdana" w:hAnsi="Verdana"/>
          <w:sz w:val="16"/>
          <w:szCs w:val="16"/>
        </w:rPr>
        <w:t>More information on the European Union is available on the Internet (http:www.europa.eu).</w:t>
      </w:r>
    </w:p>
    <w:p w14:paraId="793B0F71" w14:textId="77777777" w:rsidR="00363B4F" w:rsidRPr="00AE38CA" w:rsidRDefault="008028C4" w:rsidP="000859AC">
      <w:pPr>
        <w:spacing w:after="0"/>
        <w:jc w:val="left"/>
        <w:rPr>
          <w:rFonts w:ascii="Verdana" w:hAnsi="Verdana"/>
          <w:sz w:val="16"/>
          <w:szCs w:val="16"/>
        </w:rPr>
        <w:sectPr w:rsidR="00363B4F" w:rsidRPr="00AE38CA" w:rsidSect="00363B4F">
          <w:headerReference w:type="default" r:id="rId29"/>
          <w:footerReference w:type="default" r:id="rId30"/>
          <w:headerReference w:type="first" r:id="rId31"/>
          <w:footerReference w:type="first" r:id="rId32"/>
          <w:pgSz w:w="11906" w:h="16838"/>
          <w:pgMar w:top="1247" w:right="1304" w:bottom="1247" w:left="1304" w:header="142" w:footer="351" w:gutter="0"/>
          <w:pgNumType w:start="2"/>
          <w:cols w:space="720"/>
          <w:titlePg/>
          <w:docGrid w:linePitch="360"/>
        </w:sectPr>
      </w:pPr>
      <w:r w:rsidRPr="00AE38CA">
        <w:rPr>
          <w:rFonts w:ascii="Verdana" w:hAnsi="Verdana"/>
          <w:sz w:val="16"/>
          <w:szCs w:val="16"/>
        </w:rPr>
        <w:t>© European Union, 2019</w:t>
      </w:r>
    </w:p>
    <w:p w14:paraId="69CC58CF" w14:textId="77777777" w:rsidR="00614DBA" w:rsidRPr="00AE38CA" w:rsidRDefault="00D2135F" w:rsidP="008F5DE4">
      <w:pPr>
        <w:pStyle w:val="Plattetekst"/>
        <w:rPr>
          <w:rFonts w:eastAsia="Verdana"/>
          <w:b/>
          <w:sz w:val="32"/>
          <w:szCs w:val="32"/>
          <w:lang w:bidi="en-GB"/>
        </w:rPr>
      </w:pPr>
      <w:r w:rsidRPr="00AE38CA">
        <w:rPr>
          <w:rFonts w:eastAsia="Verdana"/>
          <w:b/>
          <w:sz w:val="32"/>
          <w:szCs w:val="32"/>
          <w:lang w:bidi="en-GB"/>
        </w:rPr>
        <w:lastRenderedPageBreak/>
        <w:t>Contents</w:t>
      </w:r>
    </w:p>
    <w:p w14:paraId="5F77F9A7" w14:textId="77777777" w:rsidR="000859AC" w:rsidRPr="00AE38CA" w:rsidRDefault="000859AC" w:rsidP="008F5DE4">
      <w:pPr>
        <w:pStyle w:val="Plattetekst"/>
      </w:pPr>
    </w:p>
    <w:p w14:paraId="18B1708F" w14:textId="7C304160" w:rsidR="00C82DA3" w:rsidRPr="00AE38CA" w:rsidRDefault="002E4310">
      <w:pPr>
        <w:pStyle w:val="Inhopg1"/>
        <w:rPr>
          <w:rFonts w:ascii="Calibri" w:hAnsi="Calibri"/>
          <w:caps w:val="0"/>
          <w:sz w:val="22"/>
          <w:szCs w:val="22"/>
          <w:lang w:eastAsia="en-GB"/>
        </w:rPr>
      </w:pPr>
      <w:r w:rsidRPr="00AE38CA">
        <w:rPr>
          <w:b/>
          <w:sz w:val="32"/>
          <w:szCs w:val="32"/>
        </w:rPr>
        <w:fldChar w:fldCharType="begin"/>
      </w:r>
      <w:r w:rsidRPr="00AE38CA">
        <w:rPr>
          <w:b/>
          <w:sz w:val="32"/>
          <w:szCs w:val="32"/>
        </w:rPr>
        <w:instrText xml:space="preserve"> TOC \o "3-3" \h \z \t "Heading 1,1,Heading 2,2" </w:instrText>
      </w:r>
      <w:r w:rsidRPr="00AE38CA">
        <w:rPr>
          <w:b/>
          <w:sz w:val="32"/>
          <w:szCs w:val="32"/>
        </w:rPr>
        <w:fldChar w:fldCharType="separate"/>
      </w:r>
      <w:hyperlink w:anchor="_Toc532388657" w:history="1">
        <w:r w:rsidR="00C82DA3" w:rsidRPr="00AE38CA">
          <w:rPr>
            <w:rStyle w:val="Hyperlink"/>
          </w:rPr>
          <w:t>1</w:t>
        </w:r>
        <w:r w:rsidR="00C82DA3" w:rsidRPr="00AE38CA">
          <w:rPr>
            <w:rFonts w:ascii="Calibri" w:hAnsi="Calibri"/>
            <w:caps w:val="0"/>
            <w:sz w:val="22"/>
            <w:szCs w:val="22"/>
            <w:lang w:eastAsia="en-GB"/>
          </w:rPr>
          <w:tab/>
        </w:r>
        <w:r w:rsidR="00C82DA3" w:rsidRPr="00AE38CA">
          <w:rPr>
            <w:rStyle w:val="Hyperlink"/>
          </w:rPr>
          <w:t>Summary</w:t>
        </w:r>
        <w:r w:rsidR="00C82DA3" w:rsidRPr="00AE38CA">
          <w:rPr>
            <w:webHidden/>
          </w:rPr>
          <w:tab/>
        </w:r>
        <w:r w:rsidR="00C82DA3" w:rsidRPr="00AE38CA">
          <w:rPr>
            <w:webHidden/>
          </w:rPr>
          <w:fldChar w:fldCharType="begin"/>
        </w:r>
        <w:r w:rsidR="00C82DA3" w:rsidRPr="00AE38CA">
          <w:rPr>
            <w:webHidden/>
          </w:rPr>
          <w:instrText xml:space="preserve"> PAGEREF _Toc532388657 \h </w:instrText>
        </w:r>
        <w:r w:rsidR="00C82DA3" w:rsidRPr="00AE38CA">
          <w:rPr>
            <w:webHidden/>
          </w:rPr>
        </w:r>
        <w:r w:rsidR="00C82DA3" w:rsidRPr="00AE38CA">
          <w:rPr>
            <w:webHidden/>
          </w:rPr>
          <w:fldChar w:fldCharType="separate"/>
        </w:r>
        <w:r w:rsidR="00EC2F20">
          <w:rPr>
            <w:webHidden/>
          </w:rPr>
          <w:t>4</w:t>
        </w:r>
        <w:r w:rsidR="00C82DA3" w:rsidRPr="00AE38CA">
          <w:rPr>
            <w:webHidden/>
          </w:rPr>
          <w:fldChar w:fldCharType="end"/>
        </w:r>
      </w:hyperlink>
    </w:p>
    <w:p w14:paraId="6A37DF36" w14:textId="742C93A3" w:rsidR="00C82DA3" w:rsidRPr="00AE38CA" w:rsidRDefault="001174CB">
      <w:pPr>
        <w:pStyle w:val="Inhopg1"/>
        <w:rPr>
          <w:rFonts w:ascii="Calibri" w:hAnsi="Calibri"/>
          <w:caps w:val="0"/>
          <w:sz w:val="22"/>
          <w:szCs w:val="22"/>
          <w:lang w:eastAsia="en-GB"/>
        </w:rPr>
      </w:pPr>
      <w:hyperlink w:anchor="_Toc532388658" w:history="1">
        <w:r w:rsidR="00C82DA3" w:rsidRPr="00AE38CA">
          <w:rPr>
            <w:rStyle w:val="Hyperlink"/>
          </w:rPr>
          <w:t>2</w:t>
        </w:r>
        <w:r w:rsidR="00C82DA3" w:rsidRPr="00AE38CA">
          <w:rPr>
            <w:rFonts w:ascii="Calibri" w:hAnsi="Calibri"/>
            <w:caps w:val="0"/>
            <w:sz w:val="22"/>
            <w:szCs w:val="22"/>
            <w:lang w:eastAsia="en-GB"/>
          </w:rPr>
          <w:tab/>
        </w:r>
        <w:r w:rsidR="00C82DA3" w:rsidRPr="00AE38CA">
          <w:rPr>
            <w:rStyle w:val="Hyperlink"/>
          </w:rPr>
          <w:t>Overall situation</w:t>
        </w:r>
        <w:r w:rsidR="00C82DA3" w:rsidRPr="00AE38CA">
          <w:rPr>
            <w:webHidden/>
          </w:rPr>
          <w:tab/>
        </w:r>
        <w:r w:rsidR="00C82DA3" w:rsidRPr="00AE38CA">
          <w:rPr>
            <w:webHidden/>
          </w:rPr>
          <w:fldChar w:fldCharType="begin"/>
        </w:r>
        <w:r w:rsidR="00C82DA3" w:rsidRPr="00AE38CA">
          <w:rPr>
            <w:webHidden/>
          </w:rPr>
          <w:instrText xml:space="preserve"> PAGEREF _Toc532388658 \h </w:instrText>
        </w:r>
        <w:r w:rsidR="00C82DA3" w:rsidRPr="00AE38CA">
          <w:rPr>
            <w:webHidden/>
          </w:rPr>
        </w:r>
        <w:r w:rsidR="00C82DA3" w:rsidRPr="00AE38CA">
          <w:rPr>
            <w:webHidden/>
          </w:rPr>
          <w:fldChar w:fldCharType="separate"/>
        </w:r>
        <w:r w:rsidR="00EC2F20">
          <w:rPr>
            <w:webHidden/>
          </w:rPr>
          <w:t>6</w:t>
        </w:r>
        <w:r w:rsidR="00C82DA3" w:rsidRPr="00AE38CA">
          <w:rPr>
            <w:webHidden/>
          </w:rPr>
          <w:fldChar w:fldCharType="end"/>
        </w:r>
      </w:hyperlink>
    </w:p>
    <w:p w14:paraId="7C7AFC78" w14:textId="4ECF2835" w:rsidR="00C82DA3" w:rsidRPr="00AE38CA" w:rsidRDefault="001174CB">
      <w:pPr>
        <w:pStyle w:val="Inhopg2"/>
        <w:rPr>
          <w:rFonts w:ascii="Calibri" w:hAnsi="Calibri"/>
          <w:sz w:val="22"/>
          <w:szCs w:val="22"/>
          <w:lang w:eastAsia="en-GB"/>
        </w:rPr>
      </w:pPr>
      <w:hyperlink w:anchor="_Toc532388659" w:history="1">
        <w:r w:rsidR="00C82DA3" w:rsidRPr="00AE38CA">
          <w:rPr>
            <w:rStyle w:val="Hyperlink"/>
            <w:lang w:bidi="en-GB"/>
          </w:rPr>
          <w:t>2.1</w:t>
        </w:r>
        <w:r w:rsidR="00C82DA3" w:rsidRPr="00AE38CA">
          <w:rPr>
            <w:rFonts w:ascii="Calibri" w:hAnsi="Calibri"/>
            <w:sz w:val="22"/>
            <w:szCs w:val="22"/>
            <w:lang w:eastAsia="en-GB"/>
          </w:rPr>
          <w:tab/>
        </w:r>
        <w:r w:rsidR="00C82DA3" w:rsidRPr="00AE38CA">
          <w:rPr>
            <w:rStyle w:val="Hyperlink"/>
            <w:lang w:bidi="en-GB"/>
          </w:rPr>
          <w:t>Overall situation of child poverty or social exclusion</w:t>
        </w:r>
        <w:r w:rsidR="00C82DA3" w:rsidRPr="00AE38CA">
          <w:rPr>
            <w:webHidden/>
          </w:rPr>
          <w:tab/>
        </w:r>
        <w:r w:rsidR="00C82DA3" w:rsidRPr="00AE38CA">
          <w:rPr>
            <w:webHidden/>
          </w:rPr>
          <w:fldChar w:fldCharType="begin"/>
        </w:r>
        <w:r w:rsidR="00C82DA3" w:rsidRPr="00AE38CA">
          <w:rPr>
            <w:webHidden/>
          </w:rPr>
          <w:instrText xml:space="preserve"> PAGEREF _Toc532388659 \h </w:instrText>
        </w:r>
        <w:r w:rsidR="00C82DA3" w:rsidRPr="00AE38CA">
          <w:rPr>
            <w:webHidden/>
          </w:rPr>
        </w:r>
        <w:r w:rsidR="00C82DA3" w:rsidRPr="00AE38CA">
          <w:rPr>
            <w:webHidden/>
          </w:rPr>
          <w:fldChar w:fldCharType="separate"/>
        </w:r>
        <w:r w:rsidR="00EC2F20">
          <w:rPr>
            <w:webHidden/>
          </w:rPr>
          <w:t>6</w:t>
        </w:r>
        <w:r w:rsidR="00C82DA3" w:rsidRPr="00AE38CA">
          <w:rPr>
            <w:webHidden/>
          </w:rPr>
          <w:fldChar w:fldCharType="end"/>
        </w:r>
      </w:hyperlink>
    </w:p>
    <w:p w14:paraId="15349057" w14:textId="2B259930" w:rsidR="00C82DA3" w:rsidRPr="00AE38CA" w:rsidRDefault="001174CB">
      <w:pPr>
        <w:pStyle w:val="Inhopg2"/>
        <w:rPr>
          <w:rFonts w:ascii="Calibri" w:hAnsi="Calibri"/>
          <w:sz w:val="22"/>
          <w:szCs w:val="22"/>
          <w:lang w:eastAsia="en-GB"/>
        </w:rPr>
      </w:pPr>
      <w:hyperlink w:anchor="_Toc532388660" w:history="1">
        <w:r w:rsidR="00C82DA3" w:rsidRPr="00AE38CA">
          <w:rPr>
            <w:rStyle w:val="Hyperlink"/>
            <w:lang w:bidi="en-GB"/>
          </w:rPr>
          <w:t>2.2</w:t>
        </w:r>
        <w:r w:rsidR="00C82DA3" w:rsidRPr="00AE38CA">
          <w:rPr>
            <w:rFonts w:ascii="Calibri" w:hAnsi="Calibri"/>
            <w:sz w:val="22"/>
            <w:szCs w:val="22"/>
            <w:lang w:eastAsia="en-GB"/>
          </w:rPr>
          <w:tab/>
        </w:r>
        <w:r w:rsidR="00C82DA3" w:rsidRPr="00AE38CA">
          <w:rPr>
            <w:rStyle w:val="Hyperlink"/>
            <w:lang w:bidi="en-GB"/>
          </w:rPr>
          <w:t>Overall situation of children living in precarious family situations</w:t>
        </w:r>
        <w:r w:rsidR="00C82DA3" w:rsidRPr="00AE38CA">
          <w:rPr>
            <w:webHidden/>
          </w:rPr>
          <w:tab/>
        </w:r>
        <w:r w:rsidR="00AE38CA">
          <w:rPr>
            <w:webHidden/>
          </w:rPr>
          <w:t>7</w:t>
        </w:r>
      </w:hyperlink>
    </w:p>
    <w:p w14:paraId="1C92201E" w14:textId="3A2A49A8" w:rsidR="00C82DA3" w:rsidRPr="00AE38CA" w:rsidRDefault="001174CB">
      <w:pPr>
        <w:pStyle w:val="Inhopg2"/>
        <w:rPr>
          <w:rFonts w:ascii="Calibri" w:hAnsi="Calibri"/>
          <w:sz w:val="22"/>
          <w:szCs w:val="22"/>
          <w:lang w:eastAsia="en-GB"/>
        </w:rPr>
      </w:pPr>
      <w:hyperlink w:anchor="_Toc532388661" w:history="1">
        <w:r w:rsidR="00C82DA3" w:rsidRPr="00AE38CA">
          <w:rPr>
            <w:rStyle w:val="Hyperlink"/>
            <w:lang w:bidi="en-GB"/>
          </w:rPr>
          <w:t>2.3</w:t>
        </w:r>
        <w:r w:rsidR="00C82DA3" w:rsidRPr="00AE38CA">
          <w:rPr>
            <w:rFonts w:ascii="Calibri" w:hAnsi="Calibri"/>
            <w:sz w:val="22"/>
            <w:szCs w:val="22"/>
            <w:lang w:eastAsia="en-GB"/>
          </w:rPr>
          <w:tab/>
        </w:r>
        <w:r w:rsidR="00C82DA3" w:rsidRPr="00AE38CA">
          <w:rPr>
            <w:rStyle w:val="Hyperlink"/>
            <w:lang w:bidi="en-GB"/>
          </w:rPr>
          <w:t>Overall situation of children residing in institutions</w:t>
        </w:r>
        <w:r w:rsidR="00C82DA3" w:rsidRPr="00AE38CA">
          <w:rPr>
            <w:webHidden/>
          </w:rPr>
          <w:tab/>
        </w:r>
        <w:r w:rsidR="00044348">
          <w:rPr>
            <w:webHidden/>
          </w:rPr>
          <w:t>10</w:t>
        </w:r>
      </w:hyperlink>
    </w:p>
    <w:p w14:paraId="2CE6CF74" w14:textId="43AE39E4" w:rsidR="00C82DA3" w:rsidRPr="00AE38CA" w:rsidRDefault="001174CB">
      <w:pPr>
        <w:pStyle w:val="Inhopg2"/>
        <w:rPr>
          <w:rFonts w:ascii="Calibri" w:hAnsi="Calibri"/>
          <w:sz w:val="22"/>
          <w:szCs w:val="22"/>
          <w:lang w:eastAsia="en-GB"/>
        </w:rPr>
      </w:pPr>
      <w:hyperlink w:anchor="_Toc532388662" w:history="1">
        <w:r w:rsidR="00C82DA3" w:rsidRPr="00AE38CA">
          <w:rPr>
            <w:rStyle w:val="Hyperlink"/>
            <w:lang w:bidi="en-GB"/>
          </w:rPr>
          <w:t>2.4</w:t>
        </w:r>
        <w:r w:rsidR="00C82DA3" w:rsidRPr="00AE38CA">
          <w:rPr>
            <w:rFonts w:ascii="Calibri" w:hAnsi="Calibri"/>
            <w:sz w:val="22"/>
            <w:szCs w:val="22"/>
            <w:lang w:eastAsia="en-GB"/>
          </w:rPr>
          <w:tab/>
        </w:r>
        <w:r w:rsidR="00C82DA3" w:rsidRPr="00AE38CA">
          <w:rPr>
            <w:rStyle w:val="Hyperlink"/>
            <w:lang w:bidi="en-GB"/>
          </w:rPr>
          <w:t>Overall situation of children of recent migrants and refugees</w:t>
        </w:r>
        <w:r w:rsidR="00C82DA3" w:rsidRPr="00AE38CA">
          <w:rPr>
            <w:webHidden/>
          </w:rPr>
          <w:tab/>
        </w:r>
        <w:r w:rsidR="00044348">
          <w:rPr>
            <w:webHidden/>
          </w:rPr>
          <w:t>10</w:t>
        </w:r>
      </w:hyperlink>
    </w:p>
    <w:p w14:paraId="2DB16398" w14:textId="2FFD1C41" w:rsidR="00C82DA3" w:rsidRPr="00AE38CA" w:rsidRDefault="001174CB">
      <w:pPr>
        <w:pStyle w:val="Inhopg2"/>
        <w:rPr>
          <w:rFonts w:ascii="Calibri" w:hAnsi="Calibri"/>
          <w:sz w:val="22"/>
          <w:szCs w:val="22"/>
          <w:lang w:eastAsia="en-GB"/>
        </w:rPr>
      </w:pPr>
      <w:hyperlink w:anchor="_Toc532388663" w:history="1">
        <w:r w:rsidR="00C82DA3" w:rsidRPr="00AE38CA">
          <w:rPr>
            <w:rStyle w:val="Hyperlink"/>
            <w:lang w:bidi="en-GB"/>
          </w:rPr>
          <w:t>2.5</w:t>
        </w:r>
        <w:r w:rsidR="00C82DA3" w:rsidRPr="00AE38CA">
          <w:rPr>
            <w:rFonts w:ascii="Calibri" w:hAnsi="Calibri"/>
            <w:sz w:val="22"/>
            <w:szCs w:val="22"/>
            <w:lang w:eastAsia="en-GB"/>
          </w:rPr>
          <w:tab/>
        </w:r>
        <w:r w:rsidR="00C82DA3" w:rsidRPr="00AE38CA">
          <w:rPr>
            <w:rStyle w:val="Hyperlink"/>
            <w:lang w:bidi="en-GB"/>
          </w:rPr>
          <w:t>Overall situation of children with disabilities</w:t>
        </w:r>
        <w:r w:rsidR="00C82DA3" w:rsidRPr="00AE38CA">
          <w:rPr>
            <w:webHidden/>
          </w:rPr>
          <w:tab/>
        </w:r>
        <w:r w:rsidR="00C82DA3" w:rsidRPr="00AE38CA">
          <w:rPr>
            <w:webHidden/>
          </w:rPr>
          <w:fldChar w:fldCharType="begin"/>
        </w:r>
        <w:r w:rsidR="00C82DA3" w:rsidRPr="00AE38CA">
          <w:rPr>
            <w:webHidden/>
          </w:rPr>
          <w:instrText xml:space="preserve"> PAGEREF _Toc532388663 \h </w:instrText>
        </w:r>
        <w:r w:rsidR="00C82DA3" w:rsidRPr="00AE38CA">
          <w:rPr>
            <w:webHidden/>
          </w:rPr>
        </w:r>
        <w:r w:rsidR="00C82DA3" w:rsidRPr="00AE38CA">
          <w:rPr>
            <w:webHidden/>
          </w:rPr>
          <w:fldChar w:fldCharType="separate"/>
        </w:r>
        <w:r w:rsidR="00EC2F20">
          <w:rPr>
            <w:webHidden/>
          </w:rPr>
          <w:t>11</w:t>
        </w:r>
        <w:r w:rsidR="00C82DA3" w:rsidRPr="00AE38CA">
          <w:rPr>
            <w:webHidden/>
          </w:rPr>
          <w:fldChar w:fldCharType="end"/>
        </w:r>
      </w:hyperlink>
    </w:p>
    <w:p w14:paraId="09467884" w14:textId="3C3B09C7" w:rsidR="00C82DA3" w:rsidRPr="00AE38CA" w:rsidRDefault="001174CB">
      <w:pPr>
        <w:pStyle w:val="Inhopg1"/>
        <w:rPr>
          <w:rFonts w:ascii="Calibri" w:hAnsi="Calibri"/>
          <w:caps w:val="0"/>
          <w:sz w:val="22"/>
          <w:szCs w:val="22"/>
          <w:lang w:eastAsia="en-GB"/>
        </w:rPr>
      </w:pPr>
      <w:hyperlink w:anchor="_Toc532388664" w:history="1">
        <w:r w:rsidR="00C82DA3" w:rsidRPr="00AE38CA">
          <w:rPr>
            <w:rStyle w:val="Hyperlink"/>
          </w:rPr>
          <w:t>3</w:t>
        </w:r>
        <w:r w:rsidR="00C82DA3" w:rsidRPr="00AE38CA">
          <w:rPr>
            <w:rFonts w:ascii="Calibri" w:hAnsi="Calibri"/>
            <w:caps w:val="0"/>
            <w:sz w:val="22"/>
            <w:szCs w:val="22"/>
            <w:lang w:eastAsia="en-GB"/>
          </w:rPr>
          <w:tab/>
        </w:r>
        <w:r w:rsidR="00C82DA3" w:rsidRPr="00AE38CA">
          <w:rPr>
            <w:rStyle w:val="Hyperlink"/>
          </w:rPr>
          <w:t>Description and assessment of main policies and programmes in place and recommendations for improvements</w:t>
        </w:r>
        <w:r w:rsidR="00C82DA3" w:rsidRPr="00AE38CA">
          <w:rPr>
            <w:webHidden/>
          </w:rPr>
          <w:tab/>
        </w:r>
        <w:r w:rsidR="00C82DA3" w:rsidRPr="00AE38CA">
          <w:rPr>
            <w:webHidden/>
          </w:rPr>
          <w:fldChar w:fldCharType="begin"/>
        </w:r>
        <w:r w:rsidR="00C82DA3" w:rsidRPr="00AE38CA">
          <w:rPr>
            <w:webHidden/>
          </w:rPr>
          <w:instrText xml:space="preserve"> PAGEREF _Toc532388664 \h </w:instrText>
        </w:r>
        <w:r w:rsidR="00C82DA3" w:rsidRPr="00AE38CA">
          <w:rPr>
            <w:webHidden/>
          </w:rPr>
        </w:r>
        <w:r w:rsidR="00C82DA3" w:rsidRPr="00AE38CA">
          <w:rPr>
            <w:webHidden/>
          </w:rPr>
          <w:fldChar w:fldCharType="separate"/>
        </w:r>
        <w:r w:rsidR="00EC2F20">
          <w:rPr>
            <w:webHidden/>
          </w:rPr>
          <w:t>13</w:t>
        </w:r>
        <w:r w:rsidR="00C82DA3" w:rsidRPr="00AE38CA">
          <w:rPr>
            <w:webHidden/>
          </w:rPr>
          <w:fldChar w:fldCharType="end"/>
        </w:r>
      </w:hyperlink>
    </w:p>
    <w:p w14:paraId="6F8A1F91" w14:textId="66D72E7C" w:rsidR="00C82DA3" w:rsidRPr="00AE38CA" w:rsidRDefault="001174CB">
      <w:pPr>
        <w:pStyle w:val="Inhopg2"/>
        <w:rPr>
          <w:rFonts w:ascii="Calibri" w:hAnsi="Calibri"/>
          <w:sz w:val="22"/>
          <w:szCs w:val="22"/>
          <w:lang w:eastAsia="en-GB"/>
        </w:rPr>
      </w:pPr>
      <w:hyperlink w:anchor="_Toc532388665" w:history="1">
        <w:r w:rsidR="00C82DA3" w:rsidRPr="00AE38CA">
          <w:rPr>
            <w:rStyle w:val="Hyperlink"/>
            <w:lang w:bidi="en-GB"/>
          </w:rPr>
          <w:t>3.1</w:t>
        </w:r>
        <w:r w:rsidR="00C82DA3" w:rsidRPr="00AE38CA">
          <w:rPr>
            <w:rFonts w:ascii="Calibri" w:hAnsi="Calibri"/>
            <w:sz w:val="22"/>
            <w:szCs w:val="22"/>
            <w:lang w:eastAsia="en-GB"/>
          </w:rPr>
          <w:tab/>
        </w:r>
        <w:r w:rsidR="00C82DA3" w:rsidRPr="00AE38CA">
          <w:rPr>
            <w:rStyle w:val="Hyperlink"/>
            <w:lang w:bidi="en-GB"/>
          </w:rPr>
          <w:t>Description and assessment of main policies in place and recommendations for improvements to ensure adequate nutrition</w:t>
        </w:r>
        <w:r w:rsidR="00C82DA3" w:rsidRPr="00AE38CA">
          <w:rPr>
            <w:webHidden/>
          </w:rPr>
          <w:tab/>
        </w:r>
        <w:r w:rsidR="00C82DA3" w:rsidRPr="00AE38CA">
          <w:rPr>
            <w:webHidden/>
          </w:rPr>
          <w:fldChar w:fldCharType="begin"/>
        </w:r>
        <w:r w:rsidR="00C82DA3" w:rsidRPr="00AE38CA">
          <w:rPr>
            <w:webHidden/>
          </w:rPr>
          <w:instrText xml:space="preserve"> PAGEREF _Toc532388665 \h </w:instrText>
        </w:r>
        <w:r w:rsidR="00C82DA3" w:rsidRPr="00AE38CA">
          <w:rPr>
            <w:webHidden/>
          </w:rPr>
        </w:r>
        <w:r w:rsidR="00C82DA3" w:rsidRPr="00AE38CA">
          <w:rPr>
            <w:webHidden/>
          </w:rPr>
          <w:fldChar w:fldCharType="separate"/>
        </w:r>
        <w:r w:rsidR="00EC2F20">
          <w:rPr>
            <w:webHidden/>
          </w:rPr>
          <w:t>14</w:t>
        </w:r>
        <w:r w:rsidR="00C82DA3" w:rsidRPr="00AE38CA">
          <w:rPr>
            <w:webHidden/>
          </w:rPr>
          <w:fldChar w:fldCharType="end"/>
        </w:r>
      </w:hyperlink>
    </w:p>
    <w:p w14:paraId="20E9DFAF" w14:textId="13012EA6" w:rsidR="00C82DA3" w:rsidRPr="00AE38CA" w:rsidRDefault="001174CB">
      <w:pPr>
        <w:pStyle w:val="Inhopg2"/>
        <w:rPr>
          <w:rFonts w:ascii="Calibri" w:hAnsi="Calibri"/>
          <w:sz w:val="22"/>
          <w:szCs w:val="22"/>
          <w:lang w:eastAsia="en-GB"/>
        </w:rPr>
      </w:pPr>
      <w:hyperlink w:anchor="_Toc532388666" w:history="1">
        <w:r w:rsidR="00C82DA3" w:rsidRPr="00AE38CA">
          <w:rPr>
            <w:rStyle w:val="Hyperlink"/>
            <w:lang w:bidi="en-GB"/>
          </w:rPr>
          <w:t>3.2</w:t>
        </w:r>
        <w:r w:rsidR="00C82DA3" w:rsidRPr="00AE38CA">
          <w:rPr>
            <w:rFonts w:ascii="Calibri" w:hAnsi="Calibri"/>
            <w:sz w:val="22"/>
            <w:szCs w:val="22"/>
            <w:lang w:eastAsia="en-GB"/>
          </w:rPr>
          <w:tab/>
        </w:r>
        <w:r w:rsidR="00C82DA3" w:rsidRPr="00AE38CA">
          <w:rPr>
            <w:rStyle w:val="Hyperlink"/>
            <w:lang w:bidi="en-GB"/>
          </w:rPr>
          <w:t>Description and assessment of main policies in place and recommendations for improvements to ensure access to free education</w:t>
        </w:r>
        <w:r w:rsidR="00C82DA3" w:rsidRPr="00AE38CA">
          <w:rPr>
            <w:webHidden/>
          </w:rPr>
          <w:tab/>
        </w:r>
        <w:r w:rsidR="00C82DA3" w:rsidRPr="00AE38CA">
          <w:rPr>
            <w:webHidden/>
          </w:rPr>
          <w:fldChar w:fldCharType="begin"/>
        </w:r>
        <w:r w:rsidR="00C82DA3" w:rsidRPr="00AE38CA">
          <w:rPr>
            <w:webHidden/>
          </w:rPr>
          <w:instrText xml:space="preserve"> PAGEREF _Toc532388666 \h </w:instrText>
        </w:r>
        <w:r w:rsidR="00C82DA3" w:rsidRPr="00AE38CA">
          <w:rPr>
            <w:webHidden/>
          </w:rPr>
        </w:r>
        <w:r w:rsidR="00C82DA3" w:rsidRPr="00AE38CA">
          <w:rPr>
            <w:webHidden/>
          </w:rPr>
          <w:fldChar w:fldCharType="separate"/>
        </w:r>
        <w:r w:rsidR="00EC2F20">
          <w:rPr>
            <w:webHidden/>
          </w:rPr>
          <w:t>17</w:t>
        </w:r>
        <w:r w:rsidR="00C82DA3" w:rsidRPr="00AE38CA">
          <w:rPr>
            <w:webHidden/>
          </w:rPr>
          <w:fldChar w:fldCharType="end"/>
        </w:r>
      </w:hyperlink>
    </w:p>
    <w:p w14:paraId="47370687" w14:textId="29AF26BB" w:rsidR="00C82DA3" w:rsidRPr="00AE38CA" w:rsidRDefault="001174CB">
      <w:pPr>
        <w:pStyle w:val="Inhopg2"/>
        <w:rPr>
          <w:rFonts w:ascii="Calibri" w:hAnsi="Calibri"/>
          <w:sz w:val="22"/>
          <w:szCs w:val="22"/>
          <w:lang w:eastAsia="en-GB"/>
        </w:rPr>
      </w:pPr>
      <w:hyperlink w:anchor="_Toc532388667" w:history="1">
        <w:r w:rsidR="00C82DA3" w:rsidRPr="00AE38CA">
          <w:rPr>
            <w:rStyle w:val="Hyperlink"/>
            <w:lang w:bidi="en-GB"/>
          </w:rPr>
          <w:t>3.3</w:t>
        </w:r>
        <w:r w:rsidR="00C82DA3" w:rsidRPr="00AE38CA">
          <w:rPr>
            <w:rFonts w:ascii="Calibri" w:hAnsi="Calibri"/>
            <w:sz w:val="22"/>
            <w:szCs w:val="22"/>
            <w:lang w:eastAsia="en-GB"/>
          </w:rPr>
          <w:tab/>
        </w:r>
        <w:r w:rsidR="00C82DA3" w:rsidRPr="00AE38CA">
          <w:rPr>
            <w:rStyle w:val="Hyperlink"/>
            <w:lang w:bidi="en-GB"/>
          </w:rPr>
          <w:t>Description and assessment of main policies in place and recommendations for improvements to ensure access to free health</w:t>
        </w:r>
        <w:r w:rsidR="00476870" w:rsidRPr="00AE38CA">
          <w:rPr>
            <w:rStyle w:val="Hyperlink"/>
            <w:lang w:bidi="en-GB"/>
          </w:rPr>
          <w:t xml:space="preserve"> </w:t>
        </w:r>
        <w:r w:rsidR="00C82DA3" w:rsidRPr="00AE38CA">
          <w:rPr>
            <w:rStyle w:val="Hyperlink"/>
            <w:lang w:bidi="en-GB"/>
          </w:rPr>
          <w:t>care</w:t>
        </w:r>
      </w:hyperlink>
      <w:r w:rsidR="00E84C21" w:rsidRPr="00AE38CA">
        <w:rPr>
          <w:webHidden/>
        </w:rPr>
        <w:tab/>
      </w:r>
      <w:r w:rsidR="00D03670" w:rsidRPr="00AE38CA">
        <w:t>19</w:t>
      </w:r>
    </w:p>
    <w:p w14:paraId="25024D99" w14:textId="12C5E338" w:rsidR="00C82DA3" w:rsidRPr="00AE38CA" w:rsidRDefault="001174CB">
      <w:pPr>
        <w:pStyle w:val="Inhopg2"/>
        <w:rPr>
          <w:rFonts w:ascii="Calibri" w:hAnsi="Calibri"/>
          <w:sz w:val="22"/>
          <w:szCs w:val="22"/>
          <w:lang w:eastAsia="en-GB"/>
        </w:rPr>
      </w:pPr>
      <w:hyperlink w:anchor="_Toc532388668" w:history="1">
        <w:r w:rsidR="00C82DA3" w:rsidRPr="00AE38CA">
          <w:rPr>
            <w:rStyle w:val="Hyperlink"/>
            <w:lang w:bidi="en-GB"/>
          </w:rPr>
          <w:t>3.4</w:t>
        </w:r>
        <w:r w:rsidR="00C82DA3" w:rsidRPr="00AE38CA">
          <w:rPr>
            <w:rFonts w:ascii="Calibri" w:hAnsi="Calibri"/>
            <w:sz w:val="22"/>
            <w:szCs w:val="22"/>
            <w:lang w:eastAsia="en-GB"/>
          </w:rPr>
          <w:tab/>
        </w:r>
        <w:r w:rsidR="00C82DA3" w:rsidRPr="00AE38CA">
          <w:rPr>
            <w:rStyle w:val="Hyperlink"/>
            <w:lang w:bidi="en-GB"/>
          </w:rPr>
          <w:t>Description and assessment of main policies in place and recommendations for improvements to ensure decent housing</w:t>
        </w:r>
        <w:r w:rsidR="00C82DA3" w:rsidRPr="00AE38CA">
          <w:rPr>
            <w:webHidden/>
          </w:rPr>
          <w:tab/>
        </w:r>
      </w:hyperlink>
      <w:r w:rsidR="00E84C21" w:rsidRPr="00AE38CA">
        <w:t>2</w:t>
      </w:r>
      <w:r w:rsidR="002D162A">
        <w:t>4</w:t>
      </w:r>
    </w:p>
    <w:p w14:paraId="6467B747" w14:textId="63C4C6A7" w:rsidR="00C82DA3" w:rsidRPr="00AE38CA" w:rsidRDefault="001174CB">
      <w:pPr>
        <w:pStyle w:val="Inhopg2"/>
        <w:rPr>
          <w:rFonts w:ascii="Calibri" w:hAnsi="Calibri"/>
          <w:sz w:val="22"/>
          <w:szCs w:val="22"/>
          <w:lang w:eastAsia="en-GB"/>
        </w:rPr>
      </w:pPr>
      <w:hyperlink w:anchor="_Toc532388669" w:history="1">
        <w:r w:rsidR="00C82DA3" w:rsidRPr="00AE38CA">
          <w:rPr>
            <w:rStyle w:val="Hyperlink"/>
            <w:lang w:bidi="en-GB"/>
          </w:rPr>
          <w:t>3.5</w:t>
        </w:r>
        <w:r w:rsidR="00C82DA3" w:rsidRPr="00AE38CA">
          <w:rPr>
            <w:rFonts w:ascii="Calibri" w:hAnsi="Calibri"/>
            <w:sz w:val="22"/>
            <w:szCs w:val="22"/>
            <w:lang w:eastAsia="en-GB"/>
          </w:rPr>
          <w:tab/>
        </w:r>
        <w:r w:rsidR="00C82DA3" w:rsidRPr="00AE38CA">
          <w:rPr>
            <w:rStyle w:val="Hyperlink"/>
            <w:lang w:bidi="en-GB"/>
          </w:rPr>
          <w:t>Description and assessment of main policies in place and recommendations for improvements to ensure access to free early childhood education and care (ECEC)</w:t>
        </w:r>
        <w:r w:rsidR="00C82DA3" w:rsidRPr="00AE38CA">
          <w:rPr>
            <w:webHidden/>
          </w:rPr>
          <w:tab/>
        </w:r>
      </w:hyperlink>
      <w:r w:rsidR="005305A0" w:rsidRPr="00AE38CA">
        <w:t>28</w:t>
      </w:r>
    </w:p>
    <w:p w14:paraId="79EF10AE" w14:textId="05FCE7B0" w:rsidR="00C82DA3" w:rsidRPr="00AE38CA" w:rsidRDefault="001174CB">
      <w:pPr>
        <w:pStyle w:val="Inhopg2"/>
        <w:rPr>
          <w:rFonts w:ascii="Calibri" w:hAnsi="Calibri"/>
          <w:sz w:val="22"/>
          <w:szCs w:val="22"/>
          <w:lang w:eastAsia="en-GB"/>
        </w:rPr>
      </w:pPr>
      <w:hyperlink w:anchor="_Toc532388670" w:history="1">
        <w:r w:rsidR="00C82DA3" w:rsidRPr="00AE38CA">
          <w:rPr>
            <w:rStyle w:val="Hyperlink"/>
            <w:lang w:bidi="en-GB"/>
          </w:rPr>
          <w:t>3.6</w:t>
        </w:r>
        <w:r w:rsidR="00C82DA3" w:rsidRPr="00AE38CA">
          <w:rPr>
            <w:rFonts w:ascii="Calibri" w:hAnsi="Calibri"/>
            <w:sz w:val="22"/>
            <w:szCs w:val="22"/>
            <w:lang w:eastAsia="en-GB"/>
          </w:rPr>
          <w:tab/>
        </w:r>
        <w:r w:rsidR="00C82DA3" w:rsidRPr="00AE38CA">
          <w:rPr>
            <w:rStyle w:val="Hyperlink"/>
            <w:lang w:bidi="en-GB"/>
          </w:rPr>
          <w:t>Summary of main weaknesses and priorities for future action as highlighted in Sections 3.1-3.5</w:t>
        </w:r>
        <w:r w:rsidR="00C82DA3" w:rsidRPr="00AE38CA">
          <w:rPr>
            <w:webHidden/>
          </w:rPr>
          <w:tab/>
        </w:r>
      </w:hyperlink>
      <w:r w:rsidR="005305A0" w:rsidRPr="00AE38CA">
        <w:t>3</w:t>
      </w:r>
      <w:r w:rsidR="001965B0">
        <w:t>0</w:t>
      </w:r>
    </w:p>
    <w:p w14:paraId="635FE702" w14:textId="2BD3694F" w:rsidR="00C82DA3" w:rsidRPr="00AE38CA" w:rsidRDefault="001174CB">
      <w:pPr>
        <w:pStyle w:val="Inhopg2"/>
        <w:rPr>
          <w:rFonts w:ascii="Calibri" w:hAnsi="Calibri"/>
          <w:sz w:val="22"/>
          <w:szCs w:val="22"/>
          <w:lang w:eastAsia="en-GB"/>
        </w:rPr>
      </w:pPr>
      <w:hyperlink w:anchor="_Toc532388671" w:history="1">
        <w:r w:rsidR="00C82DA3" w:rsidRPr="00AE38CA">
          <w:rPr>
            <w:rStyle w:val="Hyperlink"/>
            <w:lang w:bidi="en-GB"/>
          </w:rPr>
          <w:t>3.7</w:t>
        </w:r>
        <w:r w:rsidR="00C82DA3" w:rsidRPr="00AE38CA">
          <w:rPr>
            <w:rFonts w:ascii="Calibri" w:hAnsi="Calibri"/>
            <w:sz w:val="22"/>
            <w:szCs w:val="22"/>
            <w:lang w:eastAsia="en-GB"/>
          </w:rPr>
          <w:tab/>
        </w:r>
        <w:r w:rsidR="00C82DA3" w:rsidRPr="00AE38CA">
          <w:rPr>
            <w:rStyle w:val="Hyperlink"/>
            <w:lang w:bidi="en-GB"/>
          </w:rPr>
          <w:t>Description and assessment of main policies in place and recommendations for improvements to the situation of children residing in institutions</w:t>
        </w:r>
        <w:r w:rsidR="00C82DA3" w:rsidRPr="00AE38CA">
          <w:rPr>
            <w:webHidden/>
          </w:rPr>
          <w:tab/>
        </w:r>
        <w:r w:rsidR="00C82DA3" w:rsidRPr="00AE38CA">
          <w:rPr>
            <w:webHidden/>
          </w:rPr>
          <w:fldChar w:fldCharType="begin"/>
        </w:r>
        <w:r w:rsidR="00C82DA3" w:rsidRPr="00AE38CA">
          <w:rPr>
            <w:webHidden/>
          </w:rPr>
          <w:instrText xml:space="preserve"> PAGEREF _Toc532388671 \h </w:instrText>
        </w:r>
        <w:r w:rsidR="00C82DA3" w:rsidRPr="00AE38CA">
          <w:rPr>
            <w:webHidden/>
          </w:rPr>
        </w:r>
        <w:r w:rsidR="00C82DA3" w:rsidRPr="00AE38CA">
          <w:rPr>
            <w:webHidden/>
          </w:rPr>
          <w:fldChar w:fldCharType="separate"/>
        </w:r>
        <w:r w:rsidR="00EC2F20">
          <w:rPr>
            <w:webHidden/>
          </w:rPr>
          <w:t>34</w:t>
        </w:r>
        <w:r w:rsidR="00C82DA3" w:rsidRPr="00AE38CA">
          <w:rPr>
            <w:webHidden/>
          </w:rPr>
          <w:fldChar w:fldCharType="end"/>
        </w:r>
      </w:hyperlink>
    </w:p>
    <w:p w14:paraId="712E250B" w14:textId="6E52081E" w:rsidR="00C82DA3" w:rsidRPr="00AE38CA" w:rsidRDefault="001174CB">
      <w:pPr>
        <w:pStyle w:val="Inhopg2"/>
        <w:rPr>
          <w:rFonts w:ascii="Calibri" w:hAnsi="Calibri"/>
          <w:sz w:val="22"/>
          <w:szCs w:val="22"/>
          <w:lang w:eastAsia="en-GB"/>
        </w:rPr>
      </w:pPr>
      <w:hyperlink w:anchor="_Toc532388672" w:history="1">
        <w:r w:rsidR="00C82DA3" w:rsidRPr="00AE38CA">
          <w:rPr>
            <w:rStyle w:val="Hyperlink"/>
            <w:lang w:bidi="en-GB"/>
          </w:rPr>
          <w:t>3.8</w:t>
        </w:r>
        <w:r w:rsidR="00C82DA3" w:rsidRPr="00AE38CA">
          <w:rPr>
            <w:rFonts w:ascii="Calibri" w:hAnsi="Calibri"/>
            <w:sz w:val="22"/>
            <w:szCs w:val="22"/>
            <w:lang w:eastAsia="en-GB"/>
          </w:rPr>
          <w:tab/>
        </w:r>
        <w:r w:rsidR="00C82DA3" w:rsidRPr="00AE38CA">
          <w:rPr>
            <w:rStyle w:val="Hyperlink"/>
            <w:lang w:bidi="en-GB"/>
          </w:rPr>
          <w:t>Assessment of integrated, comprehensive and strategic approach</w:t>
        </w:r>
        <w:r w:rsidR="00C82DA3" w:rsidRPr="00AE38CA">
          <w:rPr>
            <w:webHidden/>
          </w:rPr>
          <w:tab/>
        </w:r>
        <w:r w:rsidR="00C82DA3" w:rsidRPr="00AE38CA">
          <w:rPr>
            <w:webHidden/>
          </w:rPr>
          <w:fldChar w:fldCharType="begin"/>
        </w:r>
        <w:r w:rsidR="00C82DA3" w:rsidRPr="00AE38CA">
          <w:rPr>
            <w:webHidden/>
          </w:rPr>
          <w:instrText xml:space="preserve"> PAGEREF _Toc532388672 \h </w:instrText>
        </w:r>
        <w:r w:rsidR="00C82DA3" w:rsidRPr="00AE38CA">
          <w:rPr>
            <w:webHidden/>
          </w:rPr>
        </w:r>
        <w:r w:rsidR="00C82DA3" w:rsidRPr="00AE38CA">
          <w:rPr>
            <w:webHidden/>
          </w:rPr>
          <w:fldChar w:fldCharType="separate"/>
        </w:r>
        <w:r w:rsidR="00EC2F20">
          <w:rPr>
            <w:webHidden/>
          </w:rPr>
          <w:t>35</w:t>
        </w:r>
        <w:r w:rsidR="00C82DA3" w:rsidRPr="00AE38CA">
          <w:rPr>
            <w:webHidden/>
          </w:rPr>
          <w:fldChar w:fldCharType="end"/>
        </w:r>
      </w:hyperlink>
    </w:p>
    <w:p w14:paraId="125017BA" w14:textId="2D8AF9BB" w:rsidR="00C82DA3" w:rsidRPr="00AE38CA" w:rsidRDefault="001174CB">
      <w:pPr>
        <w:pStyle w:val="Inhopg2"/>
        <w:rPr>
          <w:rFonts w:ascii="Calibri" w:hAnsi="Calibri"/>
          <w:sz w:val="22"/>
          <w:szCs w:val="22"/>
          <w:lang w:eastAsia="en-GB"/>
        </w:rPr>
      </w:pPr>
      <w:hyperlink w:anchor="_Toc532388673" w:history="1">
        <w:r w:rsidR="00C82DA3" w:rsidRPr="00AE38CA">
          <w:rPr>
            <w:rStyle w:val="Hyperlink"/>
            <w:lang w:bidi="en-GB"/>
          </w:rPr>
          <w:t>3.9</w:t>
        </w:r>
        <w:r w:rsidR="00C82DA3" w:rsidRPr="00AE38CA">
          <w:rPr>
            <w:rFonts w:ascii="Calibri" w:hAnsi="Calibri"/>
            <w:sz w:val="22"/>
            <w:szCs w:val="22"/>
            <w:lang w:eastAsia="en-GB"/>
          </w:rPr>
          <w:tab/>
        </w:r>
        <w:r w:rsidR="00C82DA3" w:rsidRPr="00AE38CA">
          <w:rPr>
            <w:rStyle w:val="Hyperlink"/>
            <w:lang w:bidi="en-GB"/>
          </w:rPr>
          <w:t>Costs of five rights</w:t>
        </w:r>
        <w:r w:rsidR="00C82DA3" w:rsidRPr="00AE38CA">
          <w:rPr>
            <w:webHidden/>
          </w:rPr>
          <w:tab/>
        </w:r>
        <w:r w:rsidR="00C82DA3" w:rsidRPr="00AE38CA">
          <w:rPr>
            <w:webHidden/>
          </w:rPr>
          <w:fldChar w:fldCharType="begin"/>
        </w:r>
        <w:r w:rsidR="00C82DA3" w:rsidRPr="00AE38CA">
          <w:rPr>
            <w:webHidden/>
          </w:rPr>
          <w:instrText xml:space="preserve"> PAGEREF _Toc532388673 \h </w:instrText>
        </w:r>
        <w:r w:rsidR="00C82DA3" w:rsidRPr="00AE38CA">
          <w:rPr>
            <w:webHidden/>
          </w:rPr>
        </w:r>
        <w:r w:rsidR="00C82DA3" w:rsidRPr="00AE38CA">
          <w:rPr>
            <w:webHidden/>
          </w:rPr>
          <w:fldChar w:fldCharType="separate"/>
        </w:r>
        <w:r w:rsidR="00EC2F20">
          <w:rPr>
            <w:webHidden/>
          </w:rPr>
          <w:t>37</w:t>
        </w:r>
        <w:r w:rsidR="00C82DA3" w:rsidRPr="00AE38CA">
          <w:rPr>
            <w:webHidden/>
          </w:rPr>
          <w:fldChar w:fldCharType="end"/>
        </w:r>
      </w:hyperlink>
    </w:p>
    <w:p w14:paraId="25AAF072" w14:textId="2B74F419" w:rsidR="00C82DA3" w:rsidRPr="00AE38CA" w:rsidRDefault="001174CB">
      <w:pPr>
        <w:pStyle w:val="Inhopg1"/>
        <w:rPr>
          <w:rFonts w:ascii="Calibri" w:hAnsi="Calibri"/>
          <w:caps w:val="0"/>
          <w:sz w:val="22"/>
          <w:szCs w:val="22"/>
          <w:lang w:eastAsia="en-GB"/>
        </w:rPr>
      </w:pPr>
      <w:hyperlink w:anchor="_Toc532388674" w:history="1">
        <w:r w:rsidR="00C82DA3" w:rsidRPr="00AE38CA">
          <w:rPr>
            <w:rStyle w:val="Hyperlink"/>
          </w:rPr>
          <w:t>4</w:t>
        </w:r>
        <w:r w:rsidR="00C82DA3" w:rsidRPr="00AE38CA">
          <w:rPr>
            <w:rFonts w:ascii="Calibri" w:hAnsi="Calibri"/>
            <w:caps w:val="0"/>
            <w:sz w:val="22"/>
            <w:szCs w:val="22"/>
            <w:lang w:eastAsia="en-GB"/>
          </w:rPr>
          <w:tab/>
        </w:r>
        <w:r w:rsidR="00C82DA3" w:rsidRPr="00AE38CA">
          <w:rPr>
            <w:rStyle w:val="Hyperlink"/>
          </w:rPr>
          <w:t>Use of EU Funds</w:t>
        </w:r>
        <w:r w:rsidR="00C82DA3" w:rsidRPr="00AE38CA">
          <w:rPr>
            <w:webHidden/>
          </w:rPr>
          <w:tab/>
        </w:r>
        <w:r w:rsidR="00C82DA3" w:rsidRPr="00AE38CA">
          <w:rPr>
            <w:webHidden/>
          </w:rPr>
          <w:fldChar w:fldCharType="begin"/>
        </w:r>
        <w:r w:rsidR="00C82DA3" w:rsidRPr="00AE38CA">
          <w:rPr>
            <w:webHidden/>
          </w:rPr>
          <w:instrText xml:space="preserve"> PAGEREF _Toc532388674 \h </w:instrText>
        </w:r>
        <w:r w:rsidR="00C82DA3" w:rsidRPr="00AE38CA">
          <w:rPr>
            <w:webHidden/>
          </w:rPr>
        </w:r>
        <w:r w:rsidR="00C82DA3" w:rsidRPr="00AE38CA">
          <w:rPr>
            <w:webHidden/>
          </w:rPr>
          <w:fldChar w:fldCharType="separate"/>
        </w:r>
        <w:r w:rsidR="00EC2F20">
          <w:rPr>
            <w:webHidden/>
          </w:rPr>
          <w:t>38</w:t>
        </w:r>
        <w:r w:rsidR="00C82DA3" w:rsidRPr="00AE38CA">
          <w:rPr>
            <w:webHidden/>
          </w:rPr>
          <w:fldChar w:fldCharType="end"/>
        </w:r>
      </w:hyperlink>
    </w:p>
    <w:p w14:paraId="29D70FE5" w14:textId="6601C678" w:rsidR="00C82DA3" w:rsidRPr="00AE38CA" w:rsidRDefault="001174CB">
      <w:pPr>
        <w:pStyle w:val="Inhopg2"/>
        <w:rPr>
          <w:rFonts w:ascii="Calibri" w:hAnsi="Calibri"/>
          <w:sz w:val="22"/>
          <w:szCs w:val="22"/>
          <w:lang w:eastAsia="en-GB"/>
        </w:rPr>
      </w:pPr>
      <w:hyperlink w:anchor="_Toc532388675" w:history="1">
        <w:r w:rsidR="00C82DA3" w:rsidRPr="00AE38CA">
          <w:rPr>
            <w:rStyle w:val="Hyperlink"/>
            <w:lang w:bidi="en-GB"/>
          </w:rPr>
          <w:t>4.1</w:t>
        </w:r>
        <w:r w:rsidR="00C82DA3" w:rsidRPr="00AE38CA">
          <w:rPr>
            <w:rFonts w:ascii="Calibri" w:hAnsi="Calibri"/>
            <w:sz w:val="22"/>
            <w:szCs w:val="22"/>
            <w:lang w:eastAsia="en-GB"/>
          </w:rPr>
          <w:tab/>
        </w:r>
        <w:r w:rsidR="00C82DA3" w:rsidRPr="00AE38CA">
          <w:rPr>
            <w:rStyle w:val="Hyperlink"/>
            <w:lang w:bidi="en-GB"/>
          </w:rPr>
          <w:t>Extent of use</w:t>
        </w:r>
        <w:r w:rsidR="00C82DA3" w:rsidRPr="00AE38CA">
          <w:rPr>
            <w:webHidden/>
          </w:rPr>
          <w:tab/>
        </w:r>
        <w:r w:rsidR="00C82DA3" w:rsidRPr="00AE38CA">
          <w:rPr>
            <w:webHidden/>
          </w:rPr>
          <w:fldChar w:fldCharType="begin"/>
        </w:r>
        <w:r w:rsidR="00C82DA3" w:rsidRPr="00AE38CA">
          <w:rPr>
            <w:webHidden/>
          </w:rPr>
          <w:instrText xml:space="preserve"> PAGEREF _Toc532388675 \h </w:instrText>
        </w:r>
        <w:r w:rsidR="00C82DA3" w:rsidRPr="00AE38CA">
          <w:rPr>
            <w:webHidden/>
          </w:rPr>
        </w:r>
        <w:r w:rsidR="00C82DA3" w:rsidRPr="00AE38CA">
          <w:rPr>
            <w:webHidden/>
          </w:rPr>
          <w:fldChar w:fldCharType="separate"/>
        </w:r>
        <w:r w:rsidR="00EC2F20">
          <w:rPr>
            <w:webHidden/>
          </w:rPr>
          <w:t>38</w:t>
        </w:r>
        <w:r w:rsidR="00C82DA3" w:rsidRPr="00AE38CA">
          <w:rPr>
            <w:webHidden/>
          </w:rPr>
          <w:fldChar w:fldCharType="end"/>
        </w:r>
      </w:hyperlink>
    </w:p>
    <w:p w14:paraId="3A898CCC" w14:textId="2DDF78B1" w:rsidR="00C82DA3" w:rsidRPr="00AE38CA" w:rsidRDefault="001174CB">
      <w:pPr>
        <w:pStyle w:val="Inhopg2"/>
        <w:rPr>
          <w:rFonts w:ascii="Calibri" w:hAnsi="Calibri"/>
          <w:sz w:val="22"/>
          <w:szCs w:val="22"/>
          <w:lang w:eastAsia="en-GB"/>
        </w:rPr>
      </w:pPr>
      <w:hyperlink w:anchor="_Toc532388676" w:history="1">
        <w:r w:rsidR="00C82DA3" w:rsidRPr="00AE38CA">
          <w:rPr>
            <w:rStyle w:val="Hyperlink"/>
            <w:lang w:bidi="en-GB"/>
          </w:rPr>
          <w:t>4.2</w:t>
        </w:r>
        <w:r w:rsidR="00C82DA3" w:rsidRPr="00AE38CA">
          <w:rPr>
            <w:rFonts w:ascii="Calibri" w:hAnsi="Calibri"/>
            <w:sz w:val="22"/>
            <w:szCs w:val="22"/>
            <w:lang w:eastAsia="en-GB"/>
          </w:rPr>
          <w:tab/>
        </w:r>
        <w:r w:rsidR="00C82DA3" w:rsidRPr="00AE38CA">
          <w:rPr>
            <w:rStyle w:val="Hyperlink"/>
            <w:lang w:bidi="en-GB"/>
          </w:rPr>
          <w:t>Effectiveness</w:t>
        </w:r>
        <w:r w:rsidR="00C82DA3" w:rsidRPr="00AE38CA">
          <w:rPr>
            <w:webHidden/>
          </w:rPr>
          <w:tab/>
        </w:r>
        <w:r w:rsidR="00C82DA3" w:rsidRPr="00AE38CA">
          <w:rPr>
            <w:webHidden/>
          </w:rPr>
          <w:fldChar w:fldCharType="begin"/>
        </w:r>
        <w:r w:rsidR="00C82DA3" w:rsidRPr="00AE38CA">
          <w:rPr>
            <w:webHidden/>
          </w:rPr>
          <w:instrText xml:space="preserve"> PAGEREF _Toc532388676 \h </w:instrText>
        </w:r>
        <w:r w:rsidR="00C82DA3" w:rsidRPr="00AE38CA">
          <w:rPr>
            <w:webHidden/>
          </w:rPr>
        </w:r>
        <w:r w:rsidR="00C82DA3" w:rsidRPr="00AE38CA">
          <w:rPr>
            <w:webHidden/>
          </w:rPr>
          <w:fldChar w:fldCharType="separate"/>
        </w:r>
        <w:r w:rsidR="00EC2F20">
          <w:rPr>
            <w:webHidden/>
          </w:rPr>
          <w:t>40</w:t>
        </w:r>
        <w:r w:rsidR="00C82DA3" w:rsidRPr="00AE38CA">
          <w:rPr>
            <w:webHidden/>
          </w:rPr>
          <w:fldChar w:fldCharType="end"/>
        </w:r>
      </w:hyperlink>
    </w:p>
    <w:p w14:paraId="49EB4853" w14:textId="54188384" w:rsidR="00C82DA3" w:rsidRPr="00AE38CA" w:rsidRDefault="001174CB">
      <w:pPr>
        <w:pStyle w:val="Inhopg2"/>
        <w:rPr>
          <w:rFonts w:ascii="Calibri" w:hAnsi="Calibri"/>
          <w:sz w:val="22"/>
          <w:szCs w:val="22"/>
          <w:lang w:eastAsia="en-GB"/>
        </w:rPr>
      </w:pPr>
      <w:hyperlink w:anchor="_Toc532388677" w:history="1">
        <w:r w:rsidR="00C82DA3" w:rsidRPr="00AE38CA">
          <w:rPr>
            <w:rStyle w:val="Hyperlink"/>
            <w:lang w:bidi="en-GB"/>
          </w:rPr>
          <w:t>4.3</w:t>
        </w:r>
        <w:r w:rsidR="00C82DA3" w:rsidRPr="00AE38CA">
          <w:rPr>
            <w:rFonts w:ascii="Calibri" w:hAnsi="Calibri"/>
            <w:sz w:val="22"/>
            <w:szCs w:val="22"/>
            <w:lang w:eastAsia="en-GB"/>
          </w:rPr>
          <w:tab/>
        </w:r>
        <w:r w:rsidR="00C82DA3" w:rsidRPr="00AE38CA">
          <w:rPr>
            <w:rStyle w:val="Hyperlink"/>
            <w:lang w:bidi="en-GB"/>
          </w:rPr>
          <w:t>Improvements</w:t>
        </w:r>
        <w:r w:rsidR="00C82DA3" w:rsidRPr="00AE38CA">
          <w:rPr>
            <w:webHidden/>
          </w:rPr>
          <w:tab/>
        </w:r>
        <w:r w:rsidR="00C82DA3" w:rsidRPr="00AE38CA">
          <w:rPr>
            <w:webHidden/>
          </w:rPr>
          <w:fldChar w:fldCharType="begin"/>
        </w:r>
        <w:r w:rsidR="00C82DA3" w:rsidRPr="00AE38CA">
          <w:rPr>
            <w:webHidden/>
          </w:rPr>
          <w:instrText xml:space="preserve"> PAGEREF _Toc532388677 \h </w:instrText>
        </w:r>
        <w:r w:rsidR="00C82DA3" w:rsidRPr="00AE38CA">
          <w:rPr>
            <w:webHidden/>
          </w:rPr>
        </w:r>
        <w:r w:rsidR="00C82DA3" w:rsidRPr="00AE38CA">
          <w:rPr>
            <w:webHidden/>
          </w:rPr>
          <w:fldChar w:fldCharType="separate"/>
        </w:r>
        <w:r w:rsidR="00EC2F20">
          <w:rPr>
            <w:webHidden/>
          </w:rPr>
          <w:t>40</w:t>
        </w:r>
        <w:r w:rsidR="00C82DA3" w:rsidRPr="00AE38CA">
          <w:rPr>
            <w:webHidden/>
          </w:rPr>
          <w:fldChar w:fldCharType="end"/>
        </w:r>
      </w:hyperlink>
    </w:p>
    <w:p w14:paraId="6242664D" w14:textId="2617ECC8" w:rsidR="00C82DA3" w:rsidRPr="00AE38CA" w:rsidRDefault="001174CB">
      <w:pPr>
        <w:pStyle w:val="Inhopg1"/>
        <w:rPr>
          <w:rFonts w:ascii="Calibri" w:hAnsi="Calibri"/>
          <w:caps w:val="0"/>
          <w:sz w:val="22"/>
          <w:szCs w:val="22"/>
          <w:lang w:eastAsia="en-GB"/>
        </w:rPr>
      </w:pPr>
      <w:hyperlink w:anchor="_Toc532388678" w:history="1">
        <w:r w:rsidR="00C82DA3" w:rsidRPr="00AE38CA">
          <w:rPr>
            <w:rStyle w:val="Hyperlink"/>
          </w:rPr>
          <w:t>References</w:t>
        </w:r>
        <w:r w:rsidR="00C82DA3" w:rsidRPr="00AE38CA">
          <w:rPr>
            <w:webHidden/>
          </w:rPr>
          <w:tab/>
        </w:r>
      </w:hyperlink>
      <w:r w:rsidR="001965B0">
        <w:t>41</w:t>
      </w:r>
    </w:p>
    <w:p w14:paraId="285B831F" w14:textId="1BCF8307" w:rsidR="00614DBA" w:rsidRPr="00AE38CA" w:rsidRDefault="002E4310" w:rsidP="0084575E">
      <w:pPr>
        <w:pStyle w:val="Plattetekst"/>
      </w:pPr>
      <w:r w:rsidRPr="00AE38CA">
        <w:rPr>
          <w:noProof/>
          <w:sz w:val="32"/>
          <w:szCs w:val="32"/>
        </w:rPr>
        <w:fldChar w:fldCharType="end"/>
      </w:r>
      <w:r w:rsidR="00D2135F" w:rsidRPr="00AE38CA">
        <w:br w:type="page"/>
      </w:r>
    </w:p>
    <w:p w14:paraId="59C20C5C" w14:textId="17F30B19" w:rsidR="0084575E" w:rsidRPr="00AE38CA" w:rsidRDefault="0084575E" w:rsidP="001965B0">
      <w:pPr>
        <w:pStyle w:val="Kop1"/>
        <w:numPr>
          <w:ilvl w:val="0"/>
          <w:numId w:val="24"/>
        </w:numPr>
        <w:spacing w:before="0"/>
        <w:ind w:left="431" w:hanging="431"/>
      </w:pPr>
      <w:bookmarkStart w:id="0" w:name="_Toc532388657"/>
      <w:r w:rsidRPr="00AE38CA">
        <w:lastRenderedPageBreak/>
        <w:t>Summary</w:t>
      </w:r>
      <w:bookmarkEnd w:id="0"/>
      <w:r w:rsidR="00CF02C2" w:rsidRPr="00AE38CA">
        <w:t xml:space="preserve"> </w:t>
      </w:r>
    </w:p>
    <w:p w14:paraId="1887C748" w14:textId="66CA887C" w:rsidR="00CB1AFF" w:rsidRPr="00AE38CA" w:rsidRDefault="003E65C1" w:rsidP="00CB1AFF">
      <w:pPr>
        <w:pStyle w:val="Plattetekst"/>
        <w:rPr>
          <w:lang w:bidi="en-GB"/>
        </w:rPr>
      </w:pPr>
      <w:r w:rsidRPr="00AE38CA">
        <w:rPr>
          <w:b/>
        </w:rPr>
        <w:t xml:space="preserve">In general. </w:t>
      </w:r>
      <w:r w:rsidRPr="00AE38CA">
        <w:rPr>
          <w:lang w:bidi="en-GB"/>
        </w:rPr>
        <w:t>T</w:t>
      </w:r>
      <w:r w:rsidR="00CB1AFF" w:rsidRPr="00AE38CA">
        <w:rPr>
          <w:lang w:bidi="en-GB"/>
        </w:rPr>
        <w:t>he Netherlands has an extensive and complex system of measures that protect the interests of citizens and therefore also those of children, including the four target groups (TGs) of this study. This system is the result of international treaties to which the Netherlands is a party, the constitution and further legislation. Dutch policy is mainly generic and does not focus on specific target groups. The four TGs discussed in this study are therefore not addressed as such in Dutch policy. Consequently, EU funds are not used specifically for these TGs.</w:t>
      </w:r>
    </w:p>
    <w:p w14:paraId="2BF4C782" w14:textId="56BF8C6C" w:rsidR="00CB1AFF" w:rsidRPr="00AE38CA" w:rsidRDefault="00CB1AFF" w:rsidP="00CB1AFF">
      <w:pPr>
        <w:pStyle w:val="Plattetekst"/>
        <w:rPr>
          <w:lang w:bidi="en-GB"/>
        </w:rPr>
      </w:pPr>
      <w:r w:rsidRPr="00AE38CA">
        <w:rPr>
          <w:lang w:bidi="en-GB"/>
        </w:rPr>
        <w:t xml:space="preserve">Although the policy is extensive in nature, there are gaps here and there. </w:t>
      </w:r>
      <w:r w:rsidR="00393E63" w:rsidRPr="00AE38CA">
        <w:rPr>
          <w:lang w:bidi="en-GB"/>
        </w:rPr>
        <w:t>The analysis of the access of the different TGs to each PA shows that in the Netherlands these TGs are more numerous than the overall group of children to face problems of housing (comfort and costs), as well as unmet medical needs and educational and child care costs (see Feasibility Study for a Child Guarantee [FSCG] Inception Report, 2018). Other e</w:t>
      </w:r>
      <w:r w:rsidRPr="00AE38CA">
        <w:rPr>
          <w:lang w:bidi="en-GB"/>
        </w:rPr>
        <w:t xml:space="preserve">xamples are the lack of a policy that protects vulnerable households from water supply cut offs or home evictions. </w:t>
      </w:r>
      <w:r w:rsidR="00393E63" w:rsidRPr="00AE38CA">
        <w:rPr>
          <w:lang w:bidi="en-GB"/>
        </w:rPr>
        <w:t>Furthermore</w:t>
      </w:r>
      <w:r w:rsidRPr="00AE38CA">
        <w:rPr>
          <w:lang w:bidi="en-GB"/>
        </w:rPr>
        <w:t>, it appears that there are considerable discrepancies between the policy intentions and day-to-day implementation practice. Noteworthy in this context are the waiting lists for youth care, for social rental housing or the regional variation in suitable education. The</w:t>
      </w:r>
      <w:r w:rsidR="00C86B26" w:rsidRPr="00AE38CA">
        <w:rPr>
          <w:lang w:bidi="en-GB"/>
        </w:rPr>
        <w:t>se</w:t>
      </w:r>
      <w:r w:rsidRPr="00AE38CA">
        <w:rPr>
          <w:lang w:bidi="en-GB"/>
        </w:rPr>
        <w:t xml:space="preserve"> problems are not specific to the TGs; </w:t>
      </w:r>
      <w:r w:rsidR="00587826" w:rsidRPr="00AE38CA">
        <w:rPr>
          <w:lang w:bidi="en-GB"/>
        </w:rPr>
        <w:t xml:space="preserve">they are </w:t>
      </w:r>
      <w:r w:rsidRPr="00AE38CA">
        <w:rPr>
          <w:lang w:bidi="en-GB"/>
        </w:rPr>
        <w:t>disproportionately affected by them</w:t>
      </w:r>
      <w:r w:rsidR="00587826" w:rsidRPr="00AE38CA">
        <w:rPr>
          <w:lang w:bidi="en-GB"/>
        </w:rPr>
        <w:t xml:space="preserve"> because they are overrepresented in the poor </w:t>
      </w:r>
      <w:r w:rsidR="008E5B7D" w:rsidRPr="00AE38CA">
        <w:rPr>
          <w:lang w:bidi="en-GB"/>
        </w:rPr>
        <w:t>households</w:t>
      </w:r>
      <w:r w:rsidRPr="00AE38CA">
        <w:rPr>
          <w:lang w:bidi="en-GB"/>
        </w:rPr>
        <w:t>.</w:t>
      </w:r>
    </w:p>
    <w:p w14:paraId="6896A276" w14:textId="3D822948" w:rsidR="00CB1AFF" w:rsidRPr="00AE38CA" w:rsidRDefault="00CB1AFF" w:rsidP="00CB1AFF">
      <w:pPr>
        <w:pStyle w:val="Plattetekst"/>
        <w:rPr>
          <w:lang w:bidi="en-GB"/>
        </w:rPr>
      </w:pPr>
      <w:r w:rsidRPr="00AE38CA">
        <w:rPr>
          <w:lang w:bidi="en-GB"/>
        </w:rPr>
        <w:t xml:space="preserve">On the positive side, an increasing amount of attention is paid to </w:t>
      </w:r>
      <w:r w:rsidR="006B0C36" w:rsidRPr="00AE38CA">
        <w:rPr>
          <w:lang w:bidi="en-GB"/>
        </w:rPr>
        <w:t xml:space="preserve">reducing </w:t>
      </w:r>
      <w:r w:rsidRPr="00AE38CA">
        <w:rPr>
          <w:lang w:bidi="en-GB"/>
        </w:rPr>
        <w:t xml:space="preserve">child poverty in the Netherlands; the aim is to tackle the problem coherently and integrally. It is obvious to include </w:t>
      </w:r>
      <w:r w:rsidR="00A13150" w:rsidRPr="00AE38CA">
        <w:rPr>
          <w:lang w:bidi="en-GB"/>
        </w:rPr>
        <w:t xml:space="preserve">in this policy context </w:t>
      </w:r>
      <w:r w:rsidRPr="00AE38CA">
        <w:rPr>
          <w:lang w:bidi="en-GB"/>
        </w:rPr>
        <w:t>the improvement actions proposed in this report.</w:t>
      </w:r>
    </w:p>
    <w:p w14:paraId="26BA5E78" w14:textId="0036C178" w:rsidR="00105645" w:rsidRPr="00AE38CA" w:rsidRDefault="00105645" w:rsidP="003C6E58">
      <w:pPr>
        <w:pStyle w:val="Plattetekst"/>
        <w:rPr>
          <w:b/>
        </w:rPr>
      </w:pPr>
      <w:r w:rsidRPr="00AE38CA">
        <w:rPr>
          <w:b/>
        </w:rPr>
        <w:t>Education</w:t>
      </w:r>
      <w:r w:rsidR="00414D57" w:rsidRPr="00AE38CA">
        <w:rPr>
          <w:b/>
        </w:rPr>
        <w:t>.</w:t>
      </w:r>
      <w:r w:rsidR="0097536A" w:rsidRPr="00AE38CA">
        <w:rPr>
          <w:b/>
        </w:rPr>
        <w:t xml:space="preserve"> </w:t>
      </w:r>
      <w:r w:rsidR="00FD0CDA" w:rsidRPr="00AE38CA">
        <w:t xml:space="preserve">Children in the Netherlands have the right to free education </w:t>
      </w:r>
      <w:r w:rsidR="00AD5638" w:rsidRPr="00AE38CA">
        <w:t>an</w:t>
      </w:r>
      <w:r w:rsidR="007D4D9B" w:rsidRPr="00AE38CA">
        <w:t>d</w:t>
      </w:r>
      <w:r w:rsidR="00AD5638" w:rsidRPr="00AE38CA">
        <w:t xml:space="preserve"> free</w:t>
      </w:r>
      <w:r w:rsidR="00B72CEE" w:rsidRPr="00AE38CA">
        <w:t>dom of</w:t>
      </w:r>
      <w:r w:rsidR="00AD5638" w:rsidRPr="00AE38CA">
        <w:t xml:space="preserve"> school choice</w:t>
      </w:r>
      <w:r w:rsidR="006F6C24" w:rsidRPr="00AE38CA">
        <w:t>. They</w:t>
      </w:r>
      <w:r w:rsidR="00FD0CDA" w:rsidRPr="00AE38CA">
        <w:t xml:space="preserve"> are by law required to receive schooling. </w:t>
      </w:r>
      <w:r w:rsidR="00D173C5" w:rsidRPr="00AE38CA">
        <w:rPr>
          <w:lang w:bidi="en-GB"/>
        </w:rPr>
        <w:t>The school system aims to offer appropriate schooling to every child within their local area</w:t>
      </w:r>
      <w:r w:rsidR="00417B5A" w:rsidRPr="00AE38CA">
        <w:rPr>
          <w:lang w:bidi="en-GB"/>
        </w:rPr>
        <w:t>.</w:t>
      </w:r>
      <w:r w:rsidR="00D173C5" w:rsidRPr="00AE38CA">
        <w:rPr>
          <w:lang w:bidi="en-GB"/>
        </w:rPr>
        <w:t xml:space="preserve"> </w:t>
      </w:r>
      <w:r w:rsidR="005D478F" w:rsidRPr="00AE38CA">
        <w:t>T</w:t>
      </w:r>
      <w:r w:rsidR="00E33AF4" w:rsidRPr="00AE38CA">
        <w:t>here are concerns</w:t>
      </w:r>
      <w:r w:rsidR="00FC652F" w:rsidRPr="00AE38CA">
        <w:t>, such as</w:t>
      </w:r>
      <w:r w:rsidR="00D23582" w:rsidRPr="00AE38CA">
        <w:t xml:space="preserve"> </w:t>
      </w:r>
      <w:r w:rsidR="00170FA8" w:rsidRPr="00AE38CA">
        <w:t xml:space="preserve">segregation </w:t>
      </w:r>
      <w:r w:rsidR="00CC4F18" w:rsidRPr="00AE38CA">
        <w:t xml:space="preserve">in primary </w:t>
      </w:r>
      <w:r w:rsidR="00D4120B" w:rsidRPr="00AE38CA">
        <w:t xml:space="preserve">schools </w:t>
      </w:r>
      <w:r w:rsidR="00842315" w:rsidRPr="00AE38CA">
        <w:t xml:space="preserve">by parental educational background and </w:t>
      </w:r>
      <w:r w:rsidR="00CD59A8" w:rsidRPr="00AE38CA">
        <w:t>income. Ther</w:t>
      </w:r>
      <w:r w:rsidR="004957CB" w:rsidRPr="00AE38CA">
        <w:t>e</w:t>
      </w:r>
      <w:r w:rsidR="00CD59A8" w:rsidRPr="00AE38CA">
        <w:t xml:space="preserve"> is also a </w:t>
      </w:r>
      <w:r w:rsidR="004957CB" w:rsidRPr="00AE38CA">
        <w:t>large group</w:t>
      </w:r>
      <w:r w:rsidR="002631FC" w:rsidRPr="00AE38CA">
        <w:t xml:space="preserve"> of children temporarily not receiving formal schooling. </w:t>
      </w:r>
      <w:r w:rsidR="00BE47E3" w:rsidRPr="00AE38CA">
        <w:t xml:space="preserve">The educational provision for children of refugees </w:t>
      </w:r>
      <w:r w:rsidR="00C15BC8" w:rsidRPr="00AE38CA">
        <w:t xml:space="preserve">has inefficient features and </w:t>
      </w:r>
      <w:r w:rsidR="0089221A" w:rsidRPr="00AE38CA">
        <w:t>the support offer for children with complex special needs is insufficient.</w:t>
      </w:r>
      <w:r w:rsidR="001904E2" w:rsidRPr="00AE38CA">
        <w:t xml:space="preserve"> </w:t>
      </w:r>
      <w:r w:rsidR="004D4771" w:rsidRPr="00AE38CA">
        <w:t xml:space="preserve">Another concern </w:t>
      </w:r>
      <w:r w:rsidR="00BA2F05" w:rsidRPr="00AE38CA">
        <w:t>are</w:t>
      </w:r>
      <w:r w:rsidR="00AF4163" w:rsidRPr="00AE38CA">
        <w:t xml:space="preserve"> </w:t>
      </w:r>
      <w:r w:rsidR="004D4771" w:rsidRPr="00AE38CA">
        <w:t>regional discrepancies in the organi</w:t>
      </w:r>
      <w:r w:rsidR="00AF4163" w:rsidRPr="00AE38CA">
        <w:t>s</w:t>
      </w:r>
      <w:r w:rsidR="004D4771" w:rsidRPr="00AE38CA">
        <w:t>ation of education</w:t>
      </w:r>
      <w:r w:rsidR="004826E3" w:rsidRPr="00AE38CA">
        <w:t xml:space="preserve"> for children with special needs</w:t>
      </w:r>
      <w:r w:rsidR="004D4771" w:rsidRPr="00AE38CA">
        <w:t xml:space="preserve">. </w:t>
      </w:r>
    </w:p>
    <w:p w14:paraId="0023327E" w14:textId="2E6AC837" w:rsidR="00EC06E6" w:rsidRPr="00AE38CA" w:rsidRDefault="00105645" w:rsidP="006F0B74">
      <w:pPr>
        <w:pStyle w:val="Plattetekst"/>
      </w:pPr>
      <w:r w:rsidRPr="00AE38CA">
        <w:rPr>
          <w:b/>
        </w:rPr>
        <w:t>ECEC</w:t>
      </w:r>
      <w:r w:rsidR="006F0B74" w:rsidRPr="00AE38CA">
        <w:rPr>
          <w:b/>
        </w:rPr>
        <w:t xml:space="preserve">. </w:t>
      </w:r>
      <w:r w:rsidR="009D4C52" w:rsidRPr="00AE38CA">
        <w:t>C</w:t>
      </w:r>
      <w:r w:rsidR="00A32F77" w:rsidRPr="00AE38CA">
        <w:t xml:space="preserve">hildren residing in the Netherlands can access early childhood education care facilities. </w:t>
      </w:r>
      <w:r w:rsidR="003503DB" w:rsidRPr="00AE38CA">
        <w:t>The ECEC-sector</w:t>
      </w:r>
      <w:r w:rsidR="00A32F77" w:rsidRPr="00AE38CA">
        <w:t xml:space="preserve"> </w:t>
      </w:r>
      <w:r w:rsidR="00F10207" w:rsidRPr="00AE38CA">
        <w:t>is understaffed</w:t>
      </w:r>
      <w:r w:rsidR="003503DB" w:rsidRPr="00AE38CA">
        <w:t>, which</w:t>
      </w:r>
      <w:r w:rsidR="004C33D3" w:rsidRPr="00AE38CA">
        <w:t xml:space="preserve"> </w:t>
      </w:r>
      <w:r w:rsidR="003503DB" w:rsidRPr="00AE38CA">
        <w:t xml:space="preserve">results in </w:t>
      </w:r>
      <w:r w:rsidR="00A32F77" w:rsidRPr="00AE38CA">
        <w:t>waiting list</w:t>
      </w:r>
      <w:r w:rsidR="004C33D3" w:rsidRPr="00AE38CA">
        <w:t xml:space="preserve">s for </w:t>
      </w:r>
      <w:r w:rsidR="00A32F77" w:rsidRPr="00AE38CA">
        <w:t>day</w:t>
      </w:r>
      <w:r w:rsidR="00365857" w:rsidRPr="00AE38CA">
        <w:t xml:space="preserve"> </w:t>
      </w:r>
      <w:r w:rsidR="00A32F77" w:rsidRPr="00AE38CA">
        <w:t xml:space="preserve">care </w:t>
      </w:r>
      <w:r w:rsidR="001A4319" w:rsidRPr="00AE38CA">
        <w:t>nurser</w:t>
      </w:r>
      <w:r w:rsidR="00F10207" w:rsidRPr="00AE38CA">
        <w:t>ies</w:t>
      </w:r>
      <w:r w:rsidR="00943A46" w:rsidRPr="00AE38CA">
        <w:t xml:space="preserve"> in some regions</w:t>
      </w:r>
      <w:r w:rsidR="00A32F77" w:rsidRPr="00AE38CA">
        <w:t>.</w:t>
      </w:r>
      <w:r w:rsidR="007014D1" w:rsidRPr="00AE38CA">
        <w:t xml:space="preserve"> </w:t>
      </w:r>
      <w:r w:rsidR="00ED5C55" w:rsidRPr="00AE38CA">
        <w:t>Furthermore, t</w:t>
      </w:r>
      <w:r w:rsidR="00A32F77" w:rsidRPr="00AE38CA">
        <w:t>here are indications that th</w:t>
      </w:r>
      <w:r w:rsidR="000844F4" w:rsidRPr="00AE38CA">
        <w:t>e organisation of the tax benefits</w:t>
      </w:r>
      <w:r w:rsidR="00C40DE7" w:rsidRPr="00AE38CA">
        <w:t>-</w:t>
      </w:r>
      <w:r w:rsidR="00AF5132" w:rsidRPr="00AE38CA">
        <w:t>system</w:t>
      </w:r>
      <w:r w:rsidR="00A32F77" w:rsidRPr="00AE38CA">
        <w:t xml:space="preserve"> </w:t>
      </w:r>
      <w:r w:rsidR="005679AD" w:rsidRPr="00AE38CA">
        <w:t>leads</w:t>
      </w:r>
      <w:r w:rsidR="00A32F77" w:rsidRPr="00AE38CA">
        <w:t xml:space="preserve"> to a decrease in the number of </w:t>
      </w:r>
      <w:r w:rsidR="00CF5CC6" w:rsidRPr="00AE38CA">
        <w:t>TG</w:t>
      </w:r>
      <w:r w:rsidR="00A32F77" w:rsidRPr="00AE38CA">
        <w:t xml:space="preserve"> children attending </w:t>
      </w:r>
      <w:r w:rsidR="00AF5132" w:rsidRPr="00AE38CA">
        <w:t>ECEC-</w:t>
      </w:r>
      <w:r w:rsidR="00A32F77" w:rsidRPr="00AE38CA">
        <w:t>facilities</w:t>
      </w:r>
      <w:r w:rsidR="005B73F9" w:rsidRPr="00AE38CA">
        <w:t>.</w:t>
      </w:r>
      <w:r w:rsidR="005679AD" w:rsidRPr="00AE38CA">
        <w:rPr>
          <w:rStyle w:val="Voetnootmarkering"/>
        </w:rPr>
        <w:footnoteReference w:id="2"/>
      </w:r>
      <w:r w:rsidR="00EC5E39" w:rsidRPr="00AE38CA">
        <w:t xml:space="preserve"> </w:t>
      </w:r>
      <w:r w:rsidR="00A32F77" w:rsidRPr="00AE38CA">
        <w:t xml:space="preserve">Children with working parents </w:t>
      </w:r>
      <w:r w:rsidR="00384AC0" w:rsidRPr="00AE38CA">
        <w:t>in</w:t>
      </w:r>
      <w:r w:rsidR="00A32F77" w:rsidRPr="00AE38CA">
        <w:t xml:space="preserve"> the lowest income groups appear to attend </w:t>
      </w:r>
      <w:r w:rsidR="0084402E" w:rsidRPr="00AE38CA">
        <w:t>ECEC</w:t>
      </w:r>
      <w:r w:rsidR="00BA368A" w:rsidRPr="00AE38CA">
        <w:t>-</w:t>
      </w:r>
      <w:r w:rsidR="00A32F77" w:rsidRPr="00AE38CA">
        <w:t xml:space="preserve">facilities </w:t>
      </w:r>
      <w:r w:rsidR="00BA368A" w:rsidRPr="00AE38CA">
        <w:t xml:space="preserve">less often </w:t>
      </w:r>
      <w:r w:rsidR="00A32F77" w:rsidRPr="00AE38CA">
        <w:t xml:space="preserve">than their counterparts from higher income groups. </w:t>
      </w:r>
      <w:r w:rsidR="002B45A6" w:rsidRPr="00AE38CA">
        <w:rPr>
          <w:lang w:bidi="en-GB"/>
        </w:rPr>
        <w:t>Only 35</w:t>
      </w:r>
      <w:r w:rsidR="0015099A" w:rsidRPr="00AE38CA">
        <w:rPr>
          <w:lang w:bidi="en-GB"/>
        </w:rPr>
        <w:t>%</w:t>
      </w:r>
      <w:r w:rsidR="002B45A6" w:rsidRPr="00AE38CA">
        <w:rPr>
          <w:lang w:bidi="en-GB"/>
        </w:rPr>
        <w:t xml:space="preserve"> of the municipalities with an asylum location have ECEC available for </w:t>
      </w:r>
      <w:r w:rsidR="006564CE" w:rsidRPr="00AE38CA">
        <w:rPr>
          <w:lang w:bidi="en-GB"/>
        </w:rPr>
        <w:t>refugee</w:t>
      </w:r>
      <w:r w:rsidR="002B45A6" w:rsidRPr="00AE38CA">
        <w:rPr>
          <w:lang w:bidi="en-GB"/>
        </w:rPr>
        <w:t xml:space="preserve"> children</w:t>
      </w:r>
      <w:r w:rsidR="006564CE" w:rsidRPr="00AE38CA">
        <w:rPr>
          <w:lang w:bidi="en-GB"/>
        </w:rPr>
        <w:t>.</w:t>
      </w:r>
    </w:p>
    <w:p w14:paraId="6C920C2C" w14:textId="16896FEA" w:rsidR="000F3227" w:rsidRPr="00AE38CA" w:rsidRDefault="00EC06E6" w:rsidP="003C6E58">
      <w:pPr>
        <w:pStyle w:val="Plattetekst"/>
      </w:pPr>
      <w:r w:rsidRPr="00AE38CA">
        <w:rPr>
          <w:b/>
        </w:rPr>
        <w:t>Housing</w:t>
      </w:r>
      <w:r w:rsidR="00E31801" w:rsidRPr="00AE38CA">
        <w:rPr>
          <w:b/>
        </w:rPr>
        <w:t>.</w:t>
      </w:r>
      <w:r w:rsidR="003541F9" w:rsidRPr="00AE38CA">
        <w:rPr>
          <w:b/>
        </w:rPr>
        <w:t xml:space="preserve"> </w:t>
      </w:r>
      <w:r w:rsidR="000F3227" w:rsidRPr="00AE38CA">
        <w:t xml:space="preserve">There are several policies and programmes in place that aim to ensure that housing is </w:t>
      </w:r>
      <w:r w:rsidR="00306E8D" w:rsidRPr="00AE38CA">
        <w:t>affordable</w:t>
      </w:r>
      <w:r w:rsidR="000F3227" w:rsidRPr="00AE38CA">
        <w:t xml:space="preserve">. However, the Dutch housing market is increasingly tightening, resulting in increasing prices and long waiting lists for social housing. The most urgent issue </w:t>
      </w:r>
      <w:r w:rsidR="00174260" w:rsidRPr="00AE38CA">
        <w:t xml:space="preserve">with </w:t>
      </w:r>
      <w:r w:rsidR="000F3227" w:rsidRPr="00AE38CA">
        <w:t xml:space="preserve">regard to decent housing is availability. The shortage of available </w:t>
      </w:r>
      <w:r w:rsidR="00D100B0" w:rsidRPr="00AE38CA">
        <w:t xml:space="preserve">affordable housing </w:t>
      </w:r>
      <w:r w:rsidR="00B51FE8" w:rsidRPr="00AE38CA">
        <w:t xml:space="preserve">sometimes </w:t>
      </w:r>
      <w:r w:rsidR="000F3227" w:rsidRPr="00AE38CA">
        <w:t>lead</w:t>
      </w:r>
      <w:r w:rsidR="00B51FE8" w:rsidRPr="00AE38CA">
        <w:t>s</w:t>
      </w:r>
      <w:r w:rsidR="000F3227" w:rsidRPr="00AE38CA">
        <w:t xml:space="preserve"> to unwanted </w:t>
      </w:r>
      <w:r w:rsidR="00095E42" w:rsidRPr="00AE38CA">
        <w:t>outcomes</w:t>
      </w:r>
      <w:r w:rsidR="000F3227" w:rsidRPr="00AE38CA">
        <w:t xml:space="preserve"> such as </w:t>
      </w:r>
      <w:r w:rsidR="00737245" w:rsidRPr="00AE38CA">
        <w:t>home evictions, or energy or water cut-offs</w:t>
      </w:r>
      <w:r w:rsidR="00B51FE8" w:rsidRPr="00AE38CA">
        <w:t>,</w:t>
      </w:r>
      <w:r w:rsidR="009E2A67" w:rsidRPr="00AE38CA">
        <w:t xml:space="preserve"> in which children are the victim of their parents</w:t>
      </w:r>
      <w:r w:rsidR="00737245" w:rsidRPr="00AE38CA">
        <w:t>’</w:t>
      </w:r>
      <w:r w:rsidR="009E2A67" w:rsidRPr="00AE38CA">
        <w:t xml:space="preserve"> vulnerable situation</w:t>
      </w:r>
      <w:r w:rsidR="00BC0E24" w:rsidRPr="00AE38CA">
        <w:t>.</w:t>
      </w:r>
    </w:p>
    <w:p w14:paraId="648D6612" w14:textId="6869A076" w:rsidR="003C6E58" w:rsidRPr="00AE38CA" w:rsidRDefault="003C6E58" w:rsidP="003C6E58">
      <w:pPr>
        <w:pStyle w:val="Plattetekst"/>
      </w:pPr>
      <w:r w:rsidRPr="00AE38CA">
        <w:rPr>
          <w:b/>
          <w:bCs/>
        </w:rPr>
        <w:t>Health</w:t>
      </w:r>
      <w:r w:rsidR="003E309E" w:rsidRPr="00AE38CA">
        <w:rPr>
          <w:b/>
          <w:bCs/>
        </w:rPr>
        <w:t xml:space="preserve">. </w:t>
      </w:r>
      <w:r w:rsidRPr="00AE38CA">
        <w:t>The Dutch health</w:t>
      </w:r>
      <w:r w:rsidR="00020DD5" w:rsidRPr="00AE38CA">
        <w:t xml:space="preserve"> </w:t>
      </w:r>
      <w:r w:rsidRPr="00AE38CA">
        <w:t xml:space="preserve">care system provides </w:t>
      </w:r>
      <w:r w:rsidR="00020DD5" w:rsidRPr="00AE38CA">
        <w:t xml:space="preserve">children </w:t>
      </w:r>
      <w:r w:rsidRPr="00AE38CA">
        <w:t>free access to health</w:t>
      </w:r>
      <w:r w:rsidR="00020DD5" w:rsidRPr="00AE38CA">
        <w:t xml:space="preserve"> </w:t>
      </w:r>
      <w:r w:rsidRPr="00AE38CA">
        <w:t>care services by subsidising the basic health insurance coverage. However, rising health</w:t>
      </w:r>
      <w:r w:rsidR="002E308E" w:rsidRPr="00AE38CA">
        <w:t xml:space="preserve"> </w:t>
      </w:r>
      <w:r w:rsidRPr="00AE38CA">
        <w:t xml:space="preserve">care costs are </w:t>
      </w:r>
      <w:r w:rsidR="002E308E" w:rsidRPr="00AE38CA">
        <w:t xml:space="preserve">a </w:t>
      </w:r>
      <w:r w:rsidRPr="00AE38CA">
        <w:t>concern and may affect low-income households disproportionately. Moreover, the current child health</w:t>
      </w:r>
      <w:r w:rsidR="002E308E" w:rsidRPr="00AE38CA">
        <w:t xml:space="preserve"> </w:t>
      </w:r>
      <w:r w:rsidRPr="00AE38CA">
        <w:t>care system has led to discrepancies in accessing health</w:t>
      </w:r>
      <w:r w:rsidR="002E308E" w:rsidRPr="00AE38CA">
        <w:t xml:space="preserve"> </w:t>
      </w:r>
      <w:r w:rsidRPr="00AE38CA">
        <w:t>care and receiving quality of care, depending on where the child reside</w:t>
      </w:r>
      <w:r w:rsidR="00B32374" w:rsidRPr="00AE38CA">
        <w:t>s</w:t>
      </w:r>
      <w:r w:rsidRPr="00AE38CA">
        <w:t>. Vulnerable population groups, including low SES</w:t>
      </w:r>
      <w:r w:rsidR="00B32374" w:rsidRPr="00AE38CA">
        <w:t>-</w:t>
      </w:r>
      <w:r w:rsidRPr="00AE38CA">
        <w:t>households and non-western migrants, show poorer health outcomes than their counterparts. The Dutch health</w:t>
      </w:r>
      <w:r w:rsidR="00B32374" w:rsidRPr="00AE38CA">
        <w:t xml:space="preserve"> </w:t>
      </w:r>
      <w:r w:rsidRPr="00AE38CA">
        <w:t xml:space="preserve">care system partly addresses this gap by </w:t>
      </w:r>
      <w:r w:rsidR="00CA61CA" w:rsidRPr="00AE38CA">
        <w:t xml:space="preserve">means of </w:t>
      </w:r>
      <w:r w:rsidRPr="00AE38CA">
        <w:t>health</w:t>
      </w:r>
      <w:r w:rsidR="00B32374" w:rsidRPr="00AE38CA">
        <w:t xml:space="preserve"> </w:t>
      </w:r>
      <w:r w:rsidRPr="00AE38CA">
        <w:lastRenderedPageBreak/>
        <w:t xml:space="preserve">care measures for children of recent migrants and refugees, but no other specific national health programmes are in place for the remaining FSCG target groups. </w:t>
      </w:r>
    </w:p>
    <w:p w14:paraId="54D36F25" w14:textId="613566F9" w:rsidR="003C6E58" w:rsidRPr="00AE38CA" w:rsidRDefault="003C6E58" w:rsidP="003C6E58">
      <w:pPr>
        <w:pStyle w:val="Plattetekst"/>
      </w:pPr>
      <w:r w:rsidRPr="00AE38CA">
        <w:rPr>
          <w:b/>
          <w:bCs/>
        </w:rPr>
        <w:t>Nutrition</w:t>
      </w:r>
      <w:r w:rsidR="003E309E" w:rsidRPr="00AE38CA">
        <w:rPr>
          <w:b/>
          <w:bCs/>
        </w:rPr>
        <w:t>.</w:t>
      </w:r>
      <w:r w:rsidRPr="00AE38CA">
        <w:rPr>
          <w:b/>
          <w:bCs/>
        </w:rPr>
        <w:t xml:space="preserve"> </w:t>
      </w:r>
      <w:r w:rsidRPr="00AE38CA">
        <w:t xml:space="preserve">Overall, children residing in the Netherlands can access adequate nutrition and receive tailored information and support to empower them in doing so. Through schools, children are often exposed to information and a healthy food environment to encourage them </w:t>
      </w:r>
      <w:r w:rsidR="00CA61CA" w:rsidRPr="00AE38CA">
        <w:t xml:space="preserve">to make </w:t>
      </w:r>
      <w:r w:rsidRPr="00AE38CA">
        <w:t>healthy food choices. However, there are only a handful of nutrition programmes that target children from vulnerable population groups, whilst the Dutch government recogni</w:t>
      </w:r>
      <w:r w:rsidR="00622A0A" w:rsidRPr="00AE38CA">
        <w:t>s</w:t>
      </w:r>
      <w:r w:rsidRPr="00AE38CA">
        <w:t xml:space="preserve">es the need for combating </w:t>
      </w:r>
      <w:r w:rsidR="00A05118" w:rsidRPr="00AE38CA">
        <w:t>unhealthy</w:t>
      </w:r>
      <w:r w:rsidRPr="00AE38CA">
        <w:t xml:space="preserve"> food consumption among th</w:t>
      </w:r>
      <w:r w:rsidR="00CE3F13" w:rsidRPr="00AE38CA">
        <w:t>em</w:t>
      </w:r>
      <w:r w:rsidRPr="00AE38CA">
        <w:t xml:space="preserve">. </w:t>
      </w:r>
    </w:p>
    <w:p w14:paraId="53BA36F3" w14:textId="4949BBF4" w:rsidR="00DC2CCD" w:rsidRPr="00AE38CA" w:rsidRDefault="00151B46" w:rsidP="00DC2CCD">
      <w:pPr>
        <w:pStyle w:val="Plattetekst"/>
      </w:pPr>
      <w:r w:rsidRPr="00AE38CA">
        <w:rPr>
          <w:b/>
        </w:rPr>
        <w:t xml:space="preserve">Children in </w:t>
      </w:r>
      <w:r w:rsidR="00122368" w:rsidRPr="00AE38CA">
        <w:rPr>
          <w:b/>
        </w:rPr>
        <w:t>i</w:t>
      </w:r>
      <w:r w:rsidRPr="00AE38CA">
        <w:rPr>
          <w:b/>
        </w:rPr>
        <w:t>nstitutions</w:t>
      </w:r>
      <w:r w:rsidR="003E309E" w:rsidRPr="00AE38CA">
        <w:rPr>
          <w:b/>
        </w:rPr>
        <w:t xml:space="preserve">. </w:t>
      </w:r>
      <w:r w:rsidR="00DC2CCD" w:rsidRPr="00AE38CA">
        <w:t>Regulations and policies are designed to prevent out-of-home placement of children by means of (specialist) support in the home situation. If out-of-home placement cannot be prevented, the policy is that family-oriented care is preferable to residential care. However, practice is unruly. Serious problems are often identified too late and there is insufficient availability of specialist assistance in the home situation.</w:t>
      </w:r>
    </w:p>
    <w:p w14:paraId="7C0D0AF5" w14:textId="77777777" w:rsidR="00DC2CCD" w:rsidRPr="00AE38CA" w:rsidRDefault="00DC2CCD" w:rsidP="00DC2CCD">
      <w:pPr>
        <w:pStyle w:val="Plattetekst"/>
      </w:pPr>
    </w:p>
    <w:p w14:paraId="4C4E7FE0" w14:textId="77777777" w:rsidR="003C6E58" w:rsidRPr="00AE38CA" w:rsidRDefault="003C6E58" w:rsidP="00B50850">
      <w:pPr>
        <w:pStyle w:val="Plattetekst"/>
      </w:pPr>
    </w:p>
    <w:p w14:paraId="613F71F4" w14:textId="736E9B56" w:rsidR="00B853BF" w:rsidRPr="00AE38CA" w:rsidRDefault="00B853BF" w:rsidP="00B50850">
      <w:pPr>
        <w:pStyle w:val="Plattetekst"/>
      </w:pPr>
    </w:p>
    <w:p w14:paraId="5A038950" w14:textId="278D6647" w:rsidR="00614DBA" w:rsidRPr="00AE38CA" w:rsidRDefault="00E70FEC" w:rsidP="0084575E">
      <w:pPr>
        <w:pStyle w:val="Kop1"/>
      </w:pPr>
      <w:bookmarkStart w:id="1" w:name="_Toc532388658"/>
      <w:r w:rsidRPr="00AE38CA">
        <w:br w:type="page"/>
      </w:r>
      <w:r w:rsidR="005A40FD" w:rsidRPr="00AE38CA">
        <w:lastRenderedPageBreak/>
        <w:t>Overall situation</w:t>
      </w:r>
      <w:bookmarkEnd w:id="1"/>
      <w:r w:rsidR="00B51560" w:rsidRPr="00AE38CA">
        <w:t xml:space="preserve"> </w:t>
      </w:r>
    </w:p>
    <w:p w14:paraId="1CEA3943" w14:textId="38CFCD88" w:rsidR="005B4A43" w:rsidRPr="00AE38CA" w:rsidRDefault="005B4A43" w:rsidP="004E2807">
      <w:pPr>
        <w:pStyle w:val="Kop2"/>
      </w:pPr>
      <w:bookmarkStart w:id="2" w:name="_Toc532388659"/>
      <w:r w:rsidRPr="00AE38CA">
        <w:t>Overall situation of child poverty or social exclusion</w:t>
      </w:r>
      <w:bookmarkEnd w:id="2"/>
      <w:r w:rsidR="00CF02C2" w:rsidRPr="00AE38CA">
        <w:rPr>
          <w:rStyle w:val="Voetnootmarkering"/>
        </w:rPr>
        <w:footnoteReference w:id="3"/>
      </w:r>
    </w:p>
    <w:p w14:paraId="60A390EF" w14:textId="04C0CD9D" w:rsidR="005B4A43" w:rsidRPr="00AE38CA" w:rsidRDefault="005B4A43" w:rsidP="005B4A43">
      <w:pPr>
        <w:pStyle w:val="Plattetekst"/>
      </w:pPr>
      <w:r w:rsidRPr="00AE38CA">
        <w:t xml:space="preserve">The Dutch situation can be described as follows. Figure 1 shows the development in the number of persons ‘at-risk-of-poverty-or-social-exclusion’ (AROPE) in the period 2008 to 2015. This figure appears to have increased from 2.4 million in 2008 to 2.7 million people in 2015 (rounded off) (15.7% and 16.4% of the population respectively). During this period, there </w:t>
      </w:r>
      <w:r w:rsidR="00541D44" w:rsidRPr="00AE38CA">
        <w:t>wa</w:t>
      </w:r>
      <w:r w:rsidRPr="00AE38CA">
        <w:t xml:space="preserve">s no monotonously increasing trend; probably there </w:t>
      </w:r>
      <w:r w:rsidR="00541D44" w:rsidRPr="00AE38CA">
        <w:t>wa</w:t>
      </w:r>
      <w:r w:rsidRPr="00AE38CA">
        <w:t xml:space="preserve">s a relationship with the double dip that characterised the crisis. As of 2014, the AROPE indicator decreased and the number of people at risk of poverty or social exclusion dropped slightly. This development </w:t>
      </w:r>
      <w:r w:rsidR="00066FF8" w:rsidRPr="00AE38CA">
        <w:t>wa</w:t>
      </w:r>
      <w:r w:rsidRPr="00AE38CA">
        <w:t>s caused by the decrease of the Severely Materially Deprived indicator (SMD indicator); the two other indicators d</w:t>
      </w:r>
      <w:r w:rsidR="00066FF8" w:rsidRPr="00AE38CA">
        <w:t>id</w:t>
      </w:r>
      <w:r w:rsidRPr="00AE38CA">
        <w:t xml:space="preserve"> not decrease</w:t>
      </w:r>
      <w:r w:rsidR="00066FF8" w:rsidRPr="00AE38CA">
        <w:t>,</w:t>
      </w:r>
      <w:r w:rsidRPr="00AE38CA">
        <w:t xml:space="preserve"> even though their growth rate diminished.</w:t>
      </w:r>
    </w:p>
    <w:p w14:paraId="7DFC199B" w14:textId="77777777" w:rsidR="005B4A43" w:rsidRPr="00AE38CA" w:rsidRDefault="005B4A43" w:rsidP="005B4A43">
      <w:pPr>
        <w:pStyle w:val="Plattetekst"/>
      </w:pPr>
    </w:p>
    <w:p w14:paraId="4B6F4805" w14:textId="7FE1138C" w:rsidR="005B4A43" w:rsidRPr="00AE38CA" w:rsidRDefault="005B4A43" w:rsidP="005B4A43">
      <w:pPr>
        <w:pStyle w:val="Plattetekst"/>
        <w:rPr>
          <w:b/>
          <w:noProof/>
          <w:lang w:eastAsia="nl-NL"/>
        </w:rPr>
      </w:pPr>
      <w:r w:rsidRPr="00AE38CA">
        <w:rPr>
          <w:b/>
          <w:noProof/>
          <w:lang w:eastAsia="nl-NL"/>
        </w:rPr>
        <w:t>Figure 1</w:t>
      </w:r>
      <w:r w:rsidR="00A50908" w:rsidRPr="00AE38CA">
        <w:rPr>
          <w:b/>
          <w:noProof/>
          <w:lang w:eastAsia="nl-NL"/>
        </w:rPr>
        <w:t>:</w:t>
      </w:r>
      <w:r w:rsidRPr="00AE38CA">
        <w:rPr>
          <w:b/>
          <w:noProof/>
          <w:lang w:eastAsia="nl-NL"/>
        </w:rPr>
        <w:t xml:space="preserve"> Europe 2020 indicator ‘At-risk-of-poverty-or-social-exclusion’ (Netherlands, whole population)</w:t>
      </w:r>
    </w:p>
    <w:p w14:paraId="072AB346" w14:textId="096B46CF" w:rsidR="005B4A43" w:rsidRPr="00AE38CA" w:rsidRDefault="004268D4" w:rsidP="005B4A43">
      <w:pPr>
        <w:pStyle w:val="Plattetekst"/>
      </w:pPr>
      <w:r w:rsidRPr="00AE38CA">
        <w:rPr>
          <w:noProof/>
          <w:lang w:val="en-IE" w:eastAsia="en-IE"/>
        </w:rPr>
        <w:drawing>
          <wp:inline distT="0" distB="0" distL="0" distR="0" wp14:anchorId="34E00484" wp14:editId="55D938F7">
            <wp:extent cx="5758815" cy="3011170"/>
            <wp:effectExtent l="0" t="0" r="0" b="0"/>
            <wp:docPr id="17" name="Afbeelding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C2C348A" w14:textId="2CBC49E5" w:rsidR="005B4A43" w:rsidRPr="00AE38CA" w:rsidRDefault="005B4A43" w:rsidP="003D58CA">
      <w:pPr>
        <w:pStyle w:val="Sources"/>
      </w:pPr>
      <w:r w:rsidRPr="00AE38CA">
        <w:rPr>
          <w:i w:val="0"/>
        </w:rPr>
        <w:t>Source: EU-SILC</w:t>
      </w:r>
      <w:r w:rsidR="00430787" w:rsidRPr="00AE38CA">
        <w:rPr>
          <w:i w:val="0"/>
        </w:rPr>
        <w:t xml:space="preserve">, published earlier </w:t>
      </w:r>
      <w:r w:rsidR="00D07CC3" w:rsidRPr="00AE38CA">
        <w:rPr>
          <w:i w:val="0"/>
        </w:rPr>
        <w:t xml:space="preserve">in: </w:t>
      </w:r>
      <w:r w:rsidR="00430787" w:rsidRPr="00AE38CA">
        <w:rPr>
          <w:i w:val="0"/>
        </w:rPr>
        <w:t>Kruis and Van Waveren, 2017</w:t>
      </w:r>
    </w:p>
    <w:p w14:paraId="16E836C7" w14:textId="0E8557AC" w:rsidR="005B4A43" w:rsidRPr="00AE38CA" w:rsidRDefault="005B4A43" w:rsidP="005B4A43">
      <w:pPr>
        <w:pStyle w:val="Plattetekst"/>
      </w:pPr>
      <w:r w:rsidRPr="00AE38CA">
        <w:t>Figure 2 shows the development of the AROPE indicator specifically for children (0-17 year). This development is broadly consistent with that for the entire population: an increase over the entire period and an identifiable double dip. The difference is that the decrease in the AROPE indicator ha</w:t>
      </w:r>
      <w:r w:rsidR="00D458B2" w:rsidRPr="00AE38CA">
        <w:t>d</w:t>
      </w:r>
      <w:r w:rsidRPr="00AE38CA">
        <w:t xml:space="preserve"> set in earlier, since 2011. In addition, the decrease concerned </w:t>
      </w:r>
      <w:r w:rsidR="0089141B" w:rsidRPr="00AE38CA">
        <w:t>wa</w:t>
      </w:r>
      <w:r w:rsidRPr="00AE38CA">
        <w:t>s again slight. The underlying component indicators do not show the same trend.</w:t>
      </w:r>
    </w:p>
    <w:p w14:paraId="658A1CF3" w14:textId="77777777" w:rsidR="005B4A43" w:rsidRPr="00AE38CA" w:rsidRDefault="005B4A43" w:rsidP="005B4A43">
      <w:pPr>
        <w:pStyle w:val="Plattetekst"/>
      </w:pPr>
    </w:p>
    <w:p w14:paraId="7E857A01" w14:textId="254FC263" w:rsidR="005B4A43" w:rsidRPr="00AE38CA" w:rsidRDefault="007B6F2E" w:rsidP="005B4A43">
      <w:pPr>
        <w:pStyle w:val="Plattetekst"/>
        <w:rPr>
          <w:b/>
          <w:noProof/>
          <w:lang w:eastAsia="nl-NL"/>
        </w:rPr>
      </w:pPr>
      <w:r w:rsidRPr="00AE38CA">
        <w:rPr>
          <w:noProof/>
          <w:lang w:eastAsia="nl-NL"/>
        </w:rPr>
        <w:br w:type="page"/>
      </w:r>
      <w:r w:rsidR="005B4A43" w:rsidRPr="00AE38CA">
        <w:rPr>
          <w:b/>
          <w:noProof/>
          <w:lang w:eastAsia="nl-NL"/>
        </w:rPr>
        <w:lastRenderedPageBreak/>
        <w:t>Figure 2</w:t>
      </w:r>
      <w:r w:rsidR="00A50908" w:rsidRPr="00AE38CA">
        <w:rPr>
          <w:b/>
          <w:noProof/>
          <w:lang w:eastAsia="nl-NL"/>
        </w:rPr>
        <w:t>:</w:t>
      </w:r>
      <w:r w:rsidR="005B4A43" w:rsidRPr="00AE38CA">
        <w:rPr>
          <w:b/>
          <w:noProof/>
          <w:lang w:eastAsia="nl-NL"/>
        </w:rPr>
        <w:t xml:space="preserve"> Europe 2020 indicator ‘At-risk-of-poverty-or-social-exclusion’ (Netherlands, Children 0-17)</w:t>
      </w:r>
    </w:p>
    <w:p w14:paraId="61A66F7F" w14:textId="33AE8B53" w:rsidR="005B4A43" w:rsidRPr="00AE38CA" w:rsidRDefault="004268D4" w:rsidP="005B4A43">
      <w:pPr>
        <w:pStyle w:val="Plattetekst"/>
      </w:pPr>
      <w:r w:rsidRPr="00AE38CA">
        <w:rPr>
          <w:noProof/>
          <w:lang w:val="en-IE" w:eastAsia="en-IE"/>
        </w:rPr>
        <w:drawing>
          <wp:inline distT="0" distB="0" distL="0" distR="0" wp14:anchorId="111A1C17" wp14:editId="1A225F4B">
            <wp:extent cx="5758815" cy="2915920"/>
            <wp:effectExtent l="0" t="0" r="0" b="0"/>
            <wp:docPr id="16" name="Afbeelding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9105425" w14:textId="5DAA9E46" w:rsidR="005B4A43" w:rsidRPr="00AE38CA" w:rsidRDefault="005B4A43" w:rsidP="003D58CA">
      <w:pPr>
        <w:pStyle w:val="Sources"/>
      </w:pPr>
      <w:r w:rsidRPr="00AE38CA">
        <w:rPr>
          <w:i w:val="0"/>
        </w:rPr>
        <w:t>Source: EU-SILC</w:t>
      </w:r>
      <w:r w:rsidR="00430787" w:rsidRPr="00AE38CA">
        <w:rPr>
          <w:i w:val="0"/>
        </w:rPr>
        <w:t xml:space="preserve">, published earlier </w:t>
      </w:r>
      <w:r w:rsidR="00D07CC3" w:rsidRPr="00AE38CA">
        <w:rPr>
          <w:i w:val="0"/>
        </w:rPr>
        <w:t xml:space="preserve">in: </w:t>
      </w:r>
      <w:r w:rsidR="00430787" w:rsidRPr="00AE38CA">
        <w:rPr>
          <w:i w:val="0"/>
        </w:rPr>
        <w:t>Kruis and Van Waveren, 2017</w:t>
      </w:r>
    </w:p>
    <w:p w14:paraId="1278F6B2" w14:textId="55FDF520" w:rsidR="005B4A43" w:rsidRPr="00AE38CA" w:rsidRDefault="005B4A43" w:rsidP="005B4A43">
      <w:pPr>
        <w:pStyle w:val="Plattetekst"/>
      </w:pPr>
      <w:r w:rsidRPr="00AE38CA">
        <w:t>In the Netherlands, several studies have been published in recent years on the nature and extent of child poverty. A good overview can be found in a recent publication of the Social and Economic Council of the Netherlands (Sociaal-Economische Raad</w:t>
      </w:r>
      <w:r w:rsidR="00A20277" w:rsidRPr="00AE38CA">
        <w:t xml:space="preserve"> [</w:t>
      </w:r>
      <w:r w:rsidRPr="00AE38CA">
        <w:t>SER</w:t>
      </w:r>
      <w:r w:rsidR="00A20277" w:rsidRPr="00AE38CA">
        <w:t>],</w:t>
      </w:r>
      <w:r w:rsidR="00650EC1" w:rsidRPr="00AE38CA">
        <w:t xml:space="preserve"> 2017</w:t>
      </w:r>
      <w:r w:rsidRPr="00AE38CA">
        <w:t>). Although these studies use definitions that differ from those of Eurostat, the observed trend is comparable to the Eurostat figures (SER 2017, p.16): from 2008, the risk of poverty or social exclusion increase</w:t>
      </w:r>
      <w:r w:rsidR="007C4FD4" w:rsidRPr="00AE38CA">
        <w:t>d</w:t>
      </w:r>
      <w:r w:rsidRPr="00AE38CA">
        <w:t xml:space="preserve"> for children; </w:t>
      </w:r>
      <w:r w:rsidR="003D5084" w:rsidRPr="00AE38CA">
        <w:t>as of</w:t>
      </w:r>
      <w:r w:rsidR="00BD51CB" w:rsidRPr="00AE38CA">
        <w:t xml:space="preserve"> </w:t>
      </w:r>
      <w:r w:rsidRPr="00AE38CA">
        <w:t>2013</w:t>
      </w:r>
      <w:r w:rsidR="00BD51CB" w:rsidRPr="00AE38CA">
        <w:t xml:space="preserve"> </w:t>
      </w:r>
      <w:r w:rsidRPr="00AE38CA">
        <w:t xml:space="preserve">a slight decrease </w:t>
      </w:r>
      <w:r w:rsidR="007C4FD4" w:rsidRPr="00AE38CA">
        <w:t>wa</w:t>
      </w:r>
      <w:r w:rsidRPr="00AE38CA">
        <w:t>s visible.</w:t>
      </w:r>
      <w:r w:rsidR="003D5084" w:rsidRPr="00AE38CA">
        <w:t xml:space="preserve"> In 2017</w:t>
      </w:r>
      <w:r w:rsidR="00EB0A5D" w:rsidRPr="00AE38CA">
        <w:t xml:space="preserve"> </w:t>
      </w:r>
      <w:r w:rsidR="00E5189F" w:rsidRPr="00AE38CA">
        <w:t xml:space="preserve">this </w:t>
      </w:r>
      <w:r w:rsidR="00A11936" w:rsidRPr="00AE38CA">
        <w:t>decrea</w:t>
      </w:r>
      <w:r w:rsidR="005F273F" w:rsidRPr="00AE38CA">
        <w:t xml:space="preserve">se </w:t>
      </w:r>
      <w:r w:rsidR="00377860" w:rsidRPr="00AE38CA">
        <w:t>continue</w:t>
      </w:r>
      <w:r w:rsidR="007C4FD4" w:rsidRPr="00AE38CA">
        <w:t>d</w:t>
      </w:r>
      <w:r w:rsidR="000541A6" w:rsidRPr="00AE38CA">
        <w:t xml:space="preserve">, but </w:t>
      </w:r>
      <w:r w:rsidR="00373AC6" w:rsidRPr="00AE38CA">
        <w:t xml:space="preserve">at a </w:t>
      </w:r>
      <w:r w:rsidR="000541A6" w:rsidRPr="00AE38CA">
        <w:t xml:space="preserve">rather </w:t>
      </w:r>
      <w:r w:rsidR="00270E3D" w:rsidRPr="00AE38CA">
        <w:t>marginal</w:t>
      </w:r>
      <w:r w:rsidR="000541A6" w:rsidRPr="00AE38CA">
        <w:t xml:space="preserve"> level</w:t>
      </w:r>
      <w:r w:rsidR="00A20277" w:rsidRPr="00AE38CA">
        <w:t xml:space="preserve"> (Centraal Bureau voor </w:t>
      </w:r>
      <w:r w:rsidR="00A93F07" w:rsidRPr="00AE38CA">
        <w:t>S</w:t>
      </w:r>
      <w:r w:rsidR="00A20277" w:rsidRPr="00AE38CA">
        <w:t>tatistiek</w:t>
      </w:r>
      <w:r w:rsidR="00A93F07" w:rsidRPr="00AE38CA">
        <w:t xml:space="preserve"> [CBS], 2017</w:t>
      </w:r>
      <w:r w:rsidR="005A0C5C" w:rsidRPr="00AE38CA">
        <w:t>a</w:t>
      </w:r>
      <w:r w:rsidR="00A93F07" w:rsidRPr="00AE38CA">
        <w:t>)</w:t>
      </w:r>
      <w:r w:rsidR="000541A6" w:rsidRPr="00AE38CA">
        <w:t>.</w:t>
      </w:r>
    </w:p>
    <w:p w14:paraId="459CC9AE" w14:textId="79254BE8" w:rsidR="005B4A43" w:rsidRPr="00AE38CA" w:rsidRDefault="005B4A43" w:rsidP="005B4A43">
      <w:pPr>
        <w:pStyle w:val="Plattetekst"/>
      </w:pPr>
      <w:r w:rsidRPr="00AE38CA">
        <w:t>In brief, the available sources indicate a small decrease in child poverty, but this decrease is very modest and is not (yet) supported by all component indicators.</w:t>
      </w:r>
      <w:r w:rsidR="009B775A" w:rsidRPr="00AE38CA">
        <w:t xml:space="preserve"> </w:t>
      </w:r>
    </w:p>
    <w:p w14:paraId="2AF1E8D6" w14:textId="6F24B5C2" w:rsidR="005B4A43" w:rsidRPr="00AE38CA" w:rsidRDefault="005B4A43" w:rsidP="005B4A43">
      <w:pPr>
        <w:pStyle w:val="Plattetekst"/>
      </w:pPr>
      <w:r w:rsidRPr="00AE38CA">
        <w:t xml:space="preserve">More </w:t>
      </w:r>
      <w:r w:rsidR="00A8128F" w:rsidRPr="00AE38CA">
        <w:t xml:space="preserve">figures </w:t>
      </w:r>
      <w:r w:rsidRPr="00AE38CA">
        <w:t>and tables are published as annexes in Frazer and Marlier (2017). We find that on all indicators and for all subgroups, the Netherlands scores better than the EU average, in most cases even significantly better.</w:t>
      </w:r>
    </w:p>
    <w:p w14:paraId="0A5D5188" w14:textId="439373F0" w:rsidR="005A40FD" w:rsidRPr="00AE38CA" w:rsidRDefault="005A40FD" w:rsidP="004771A1">
      <w:pPr>
        <w:pStyle w:val="Kop2"/>
      </w:pPr>
      <w:bookmarkStart w:id="3" w:name="_Toc532388660"/>
      <w:r w:rsidRPr="00AE38CA">
        <w:t>Overall situation of children living in precarious family situations</w:t>
      </w:r>
      <w:bookmarkEnd w:id="3"/>
      <w:r w:rsidRPr="00AE38CA">
        <w:t xml:space="preserve"> </w:t>
      </w:r>
    </w:p>
    <w:p w14:paraId="5916ABEC" w14:textId="49492241" w:rsidR="00A3111D" w:rsidRPr="00AE38CA" w:rsidRDefault="00A3111D" w:rsidP="000834B0">
      <w:pPr>
        <w:rPr>
          <w:rFonts w:ascii="Verdana" w:hAnsi="Verdana"/>
          <w:i/>
          <w:sz w:val="20"/>
        </w:rPr>
      </w:pPr>
      <w:r w:rsidRPr="00AE38CA">
        <w:rPr>
          <w:rFonts w:ascii="Verdana" w:hAnsi="Verdana"/>
          <w:i/>
          <w:sz w:val="20"/>
        </w:rPr>
        <w:t>Size of each of the 4 subgroups in EU countries</w:t>
      </w:r>
      <w:r w:rsidR="00307B65" w:rsidRPr="00AE38CA">
        <w:rPr>
          <w:rStyle w:val="Voetnootmarkering"/>
          <w:rFonts w:ascii="Verdana" w:hAnsi="Verdana"/>
          <w:i/>
          <w:sz w:val="20"/>
        </w:rPr>
        <w:footnoteReference w:id="4"/>
      </w:r>
    </w:p>
    <w:p w14:paraId="55CE718C" w14:textId="56B29129" w:rsidR="00A3111D" w:rsidRPr="00AE38CA" w:rsidRDefault="00A3111D" w:rsidP="00511CCC">
      <w:pPr>
        <w:spacing w:after="0"/>
        <w:rPr>
          <w:rFonts w:ascii="Verdana" w:hAnsi="Verdana"/>
          <w:i/>
          <w:sz w:val="20"/>
        </w:rPr>
      </w:pPr>
      <w:r w:rsidRPr="00AE38CA">
        <w:rPr>
          <w:rFonts w:ascii="Verdana" w:hAnsi="Verdana"/>
          <w:i/>
          <w:sz w:val="20"/>
        </w:rPr>
        <w:t xml:space="preserve">Size of subgroup </w:t>
      </w:r>
      <w:r w:rsidR="000478D1" w:rsidRPr="00AE38CA">
        <w:rPr>
          <w:rFonts w:ascii="Verdana" w:hAnsi="Verdana"/>
          <w:i/>
          <w:sz w:val="20"/>
        </w:rPr>
        <w:t>‘</w:t>
      </w:r>
      <w:r w:rsidRPr="00AE38CA">
        <w:rPr>
          <w:rFonts w:ascii="Verdana" w:hAnsi="Verdana"/>
          <w:i/>
          <w:sz w:val="20"/>
        </w:rPr>
        <w:t>Low-income/</w:t>
      </w:r>
      <w:r w:rsidR="0091325B" w:rsidRPr="00AE38CA">
        <w:rPr>
          <w:rFonts w:ascii="Verdana" w:hAnsi="Verdana"/>
          <w:i/>
          <w:sz w:val="20"/>
        </w:rPr>
        <w:t>socio-economic status children’</w:t>
      </w:r>
    </w:p>
    <w:p w14:paraId="02DDDBBE" w14:textId="0695C967" w:rsidR="00523412" w:rsidRPr="00AE38CA" w:rsidRDefault="00523412" w:rsidP="00523412">
      <w:pPr>
        <w:pStyle w:val="Plattetekst"/>
        <w:rPr>
          <w:lang w:bidi="en-GB"/>
        </w:rPr>
      </w:pPr>
      <w:r w:rsidRPr="00AE38CA">
        <w:rPr>
          <w:lang w:bidi="en-GB"/>
        </w:rPr>
        <w:t>Based on EU-SILC data, figure 3 contains combined information on</w:t>
      </w:r>
      <w:r w:rsidR="009A4587" w:rsidRPr="00AE38CA">
        <w:rPr>
          <w:lang w:bidi="en-GB"/>
        </w:rPr>
        <w:t xml:space="preserve"> </w:t>
      </w:r>
      <w:r w:rsidR="007A5679" w:rsidRPr="00AE38CA">
        <w:rPr>
          <w:lang w:bidi="en-GB"/>
        </w:rPr>
        <w:t xml:space="preserve">the EU-indicators ‘Child specific deprivation’ and </w:t>
      </w:r>
      <w:r w:rsidR="005B2D58" w:rsidRPr="00AE38CA">
        <w:rPr>
          <w:lang w:bidi="en-GB"/>
        </w:rPr>
        <w:t>‘</w:t>
      </w:r>
      <w:r w:rsidR="00520425" w:rsidRPr="00AE38CA">
        <w:rPr>
          <w:lang w:bidi="en-GB"/>
        </w:rPr>
        <w:t>At</w:t>
      </w:r>
      <w:r w:rsidR="00447463" w:rsidRPr="00AE38CA">
        <w:rPr>
          <w:lang w:bidi="en-GB"/>
        </w:rPr>
        <w:t>-</w:t>
      </w:r>
      <w:r w:rsidR="00520425" w:rsidRPr="00AE38CA">
        <w:rPr>
          <w:lang w:bidi="en-GB"/>
        </w:rPr>
        <w:t>risk</w:t>
      </w:r>
      <w:r w:rsidR="00447463" w:rsidRPr="00AE38CA">
        <w:rPr>
          <w:lang w:bidi="en-GB"/>
        </w:rPr>
        <w:t>-</w:t>
      </w:r>
      <w:r w:rsidR="00520425" w:rsidRPr="00AE38CA">
        <w:rPr>
          <w:lang w:bidi="en-GB"/>
        </w:rPr>
        <w:t>o</w:t>
      </w:r>
      <w:r w:rsidR="00447463" w:rsidRPr="00AE38CA">
        <w:rPr>
          <w:lang w:bidi="en-GB"/>
        </w:rPr>
        <w:t>f-</w:t>
      </w:r>
      <w:r w:rsidR="005B2D58" w:rsidRPr="00AE38CA">
        <w:rPr>
          <w:lang w:bidi="en-GB"/>
        </w:rPr>
        <w:t>income</w:t>
      </w:r>
      <w:r w:rsidR="00447463" w:rsidRPr="00AE38CA">
        <w:rPr>
          <w:lang w:bidi="en-GB"/>
        </w:rPr>
        <w:t>-</w:t>
      </w:r>
      <w:r w:rsidR="005B2D58" w:rsidRPr="00AE38CA">
        <w:rPr>
          <w:lang w:bidi="en-GB"/>
        </w:rPr>
        <w:t>poverty</w:t>
      </w:r>
      <w:r w:rsidR="00520425" w:rsidRPr="00AE38CA">
        <w:rPr>
          <w:lang w:bidi="en-GB"/>
        </w:rPr>
        <w:t xml:space="preserve">’. The figure shows that </w:t>
      </w:r>
      <w:r w:rsidR="00F8098B" w:rsidRPr="00AE38CA">
        <w:rPr>
          <w:lang w:bidi="en-GB"/>
        </w:rPr>
        <w:t>the Netherlands is positioned in group 4</w:t>
      </w:r>
      <w:r w:rsidR="00872BD2" w:rsidRPr="00AE38CA">
        <w:rPr>
          <w:lang w:bidi="en-GB"/>
        </w:rPr>
        <w:t xml:space="preserve">. This group </w:t>
      </w:r>
      <w:r w:rsidR="00C13DF7" w:rsidRPr="00AE38CA">
        <w:rPr>
          <w:lang w:bidi="en-GB"/>
        </w:rPr>
        <w:t>contain</w:t>
      </w:r>
      <w:r w:rsidR="00872BD2" w:rsidRPr="00AE38CA">
        <w:rPr>
          <w:lang w:bidi="en-GB"/>
        </w:rPr>
        <w:t>s</w:t>
      </w:r>
      <w:r w:rsidR="00C13DF7" w:rsidRPr="00AE38CA">
        <w:rPr>
          <w:lang w:bidi="en-GB"/>
        </w:rPr>
        <w:t xml:space="preserve"> </w:t>
      </w:r>
      <w:r w:rsidR="007F502E" w:rsidRPr="00AE38CA">
        <w:rPr>
          <w:lang w:bidi="en-GB"/>
        </w:rPr>
        <w:t xml:space="preserve">EU countries </w:t>
      </w:r>
      <w:r w:rsidR="00C13DF7" w:rsidRPr="00AE38CA">
        <w:rPr>
          <w:lang w:bidi="en-GB"/>
        </w:rPr>
        <w:t xml:space="preserve">that </w:t>
      </w:r>
      <w:r w:rsidR="00F30758" w:rsidRPr="00AE38CA">
        <w:t>suffer from a low-to-medium level of child deprivation rate and income poverty.</w:t>
      </w:r>
    </w:p>
    <w:p w14:paraId="6ACAD86E" w14:textId="77777777" w:rsidR="00523412" w:rsidRPr="00AE38CA" w:rsidRDefault="00523412" w:rsidP="00B853BF">
      <w:pPr>
        <w:pStyle w:val="Plattetekst"/>
        <w:rPr>
          <w:lang w:bidi="en-GB"/>
        </w:rPr>
      </w:pPr>
    </w:p>
    <w:p w14:paraId="67F1FB78" w14:textId="77777777" w:rsidR="00511CCC" w:rsidRPr="00AE38CA" w:rsidRDefault="00511CCC">
      <w:pPr>
        <w:spacing w:after="0"/>
        <w:jc w:val="left"/>
        <w:rPr>
          <w:rFonts w:ascii="Verdana" w:hAnsi="Verdana"/>
          <w:b/>
          <w:sz w:val="20"/>
          <w:lang w:bidi="en-GB"/>
        </w:rPr>
      </w:pPr>
      <w:r w:rsidRPr="00AE38CA">
        <w:rPr>
          <w:b/>
          <w:lang w:bidi="en-GB"/>
        </w:rPr>
        <w:br w:type="page"/>
      </w:r>
    </w:p>
    <w:p w14:paraId="6BFC8E8D" w14:textId="4AE2555F" w:rsidR="00C734FB" w:rsidRPr="00AE38CA" w:rsidRDefault="00C734FB" w:rsidP="00CE67C9">
      <w:pPr>
        <w:pStyle w:val="Plattetekst"/>
        <w:rPr>
          <w:b/>
        </w:rPr>
      </w:pPr>
      <w:r w:rsidRPr="00AE38CA">
        <w:rPr>
          <w:b/>
          <w:lang w:bidi="en-GB"/>
        </w:rPr>
        <w:lastRenderedPageBreak/>
        <w:t xml:space="preserve">Figure </w:t>
      </w:r>
      <w:r w:rsidR="00344F44" w:rsidRPr="00AE38CA">
        <w:rPr>
          <w:b/>
          <w:lang w:bidi="en-GB"/>
        </w:rPr>
        <w:t>3</w:t>
      </w:r>
      <w:r w:rsidRPr="00AE38CA">
        <w:rPr>
          <w:b/>
          <w:lang w:bidi="en-GB"/>
        </w:rPr>
        <w:t>: Proportion of children (aged between 1 and 15 years) who lack at least three items (out of 17) and proportion of children who suffer from income poverty, EU-28 Member States, 2014, %</w:t>
      </w:r>
    </w:p>
    <w:p w14:paraId="52F595A2" w14:textId="37733131" w:rsidR="00C734FB" w:rsidRPr="00AE38CA" w:rsidRDefault="004268D4" w:rsidP="00C734FB">
      <w:pPr>
        <w:pStyle w:val="Graph-tabletitle"/>
      </w:pPr>
      <w:r w:rsidRPr="00AE38CA">
        <w:rPr>
          <w:noProof/>
          <w:lang w:val="en-IE" w:eastAsia="en-IE"/>
        </w:rPr>
        <w:drawing>
          <wp:inline distT="0" distB="0" distL="0" distR="0" wp14:anchorId="6E0C979A" wp14:editId="0B00C431">
            <wp:extent cx="5829300" cy="4238625"/>
            <wp:effectExtent l="0" t="0" r="0" b="0"/>
            <wp:docPr id="1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9300" cy="4238625"/>
                    </a:xfrm>
                    <a:prstGeom prst="rect">
                      <a:avLst/>
                    </a:prstGeom>
                    <a:noFill/>
                    <a:ln>
                      <a:noFill/>
                    </a:ln>
                  </pic:spPr>
                </pic:pic>
              </a:graphicData>
            </a:graphic>
          </wp:inline>
        </w:drawing>
      </w:r>
    </w:p>
    <w:p w14:paraId="327A3C99" w14:textId="0161C200" w:rsidR="00C734FB" w:rsidRPr="00AE38CA" w:rsidRDefault="00C734FB" w:rsidP="00C734FB">
      <w:pPr>
        <w:pStyle w:val="Sources"/>
        <w:rPr>
          <w:i w:val="0"/>
        </w:rPr>
      </w:pPr>
      <w:r w:rsidRPr="00AE38CA">
        <w:rPr>
          <w:i w:val="0"/>
        </w:rPr>
        <w:t>Source: EU-SILC 2014, computations Guio et al. (2018)</w:t>
      </w:r>
      <w:r w:rsidR="00196FB6" w:rsidRPr="00AE38CA">
        <w:rPr>
          <w:i w:val="0"/>
        </w:rPr>
        <w:t>, as p</w:t>
      </w:r>
      <w:r w:rsidR="00A04E5D" w:rsidRPr="00AE38CA">
        <w:rPr>
          <w:i w:val="0"/>
        </w:rPr>
        <w:t xml:space="preserve">ublished in </w:t>
      </w:r>
      <w:r w:rsidR="00D45D9B" w:rsidRPr="00AE38CA">
        <w:rPr>
          <w:i w:val="0"/>
        </w:rPr>
        <w:t xml:space="preserve">FSCG </w:t>
      </w:r>
      <w:r w:rsidR="00A04E5D" w:rsidRPr="00AE38CA">
        <w:rPr>
          <w:i w:val="0"/>
        </w:rPr>
        <w:t>Inception Report</w:t>
      </w:r>
      <w:r w:rsidR="004C51A0" w:rsidRPr="00AE38CA">
        <w:rPr>
          <w:i w:val="0"/>
        </w:rPr>
        <w:t xml:space="preserve"> (2018)</w:t>
      </w:r>
    </w:p>
    <w:p w14:paraId="2B266F8F" w14:textId="77777777" w:rsidR="005634B1" w:rsidRPr="00AE38CA" w:rsidRDefault="005634B1" w:rsidP="00C734FB">
      <w:pPr>
        <w:pStyle w:val="Sources"/>
        <w:rPr>
          <w:i w:val="0"/>
        </w:rPr>
      </w:pPr>
    </w:p>
    <w:p w14:paraId="6A2A7468" w14:textId="76F7FF83" w:rsidR="00A3111D" w:rsidRPr="00AE38CA" w:rsidRDefault="00A3111D" w:rsidP="00511CCC">
      <w:pPr>
        <w:spacing w:after="0"/>
        <w:rPr>
          <w:rFonts w:ascii="Verdana" w:hAnsi="Verdana"/>
          <w:i/>
          <w:sz w:val="20"/>
        </w:rPr>
      </w:pPr>
      <w:r w:rsidRPr="00AE38CA">
        <w:rPr>
          <w:rFonts w:ascii="Verdana" w:hAnsi="Verdana"/>
          <w:i/>
          <w:sz w:val="20"/>
        </w:rPr>
        <w:t xml:space="preserve">Size of subgroup </w:t>
      </w:r>
      <w:r w:rsidR="000478D1" w:rsidRPr="00AE38CA">
        <w:rPr>
          <w:rFonts w:ascii="Verdana" w:hAnsi="Verdana"/>
          <w:i/>
          <w:sz w:val="20"/>
        </w:rPr>
        <w:t>‘</w:t>
      </w:r>
      <w:r w:rsidRPr="00AE38CA">
        <w:rPr>
          <w:rFonts w:ascii="Verdana" w:hAnsi="Verdana"/>
          <w:i/>
          <w:sz w:val="20"/>
        </w:rPr>
        <w:t>Children living in single-adult households</w:t>
      </w:r>
      <w:r w:rsidR="000478D1" w:rsidRPr="00AE38CA">
        <w:rPr>
          <w:rFonts w:ascii="Verdana" w:hAnsi="Verdana"/>
          <w:i/>
          <w:sz w:val="20"/>
        </w:rPr>
        <w:t>’</w:t>
      </w:r>
    </w:p>
    <w:p w14:paraId="5159FB12" w14:textId="15E051E8" w:rsidR="00CF1AE0" w:rsidRPr="00AE38CA" w:rsidRDefault="00CF1AE0" w:rsidP="00CF1AE0">
      <w:pPr>
        <w:pStyle w:val="Plattetekst"/>
        <w:rPr>
          <w:lang w:bidi="en-GB"/>
        </w:rPr>
      </w:pPr>
      <w:r w:rsidRPr="00AE38CA">
        <w:rPr>
          <w:lang w:bidi="en-GB"/>
        </w:rPr>
        <w:t>Figure 4 presents the proportion of children living in single-adult households in EU countries.</w:t>
      </w:r>
      <w:r w:rsidR="00A423E5" w:rsidRPr="00AE38CA">
        <w:rPr>
          <w:lang w:bidi="en-GB"/>
        </w:rPr>
        <w:t xml:space="preserve"> </w:t>
      </w:r>
      <w:r w:rsidR="00822876" w:rsidRPr="00AE38CA">
        <w:rPr>
          <w:lang w:bidi="en-GB"/>
        </w:rPr>
        <w:t>In the Netherlands t</w:t>
      </w:r>
      <w:r w:rsidR="000103F7" w:rsidRPr="00AE38CA">
        <w:rPr>
          <w:lang w:bidi="en-GB"/>
        </w:rPr>
        <w:t xml:space="preserve">he </w:t>
      </w:r>
      <w:r w:rsidR="00A423E5" w:rsidRPr="00AE38CA">
        <w:rPr>
          <w:lang w:bidi="en-GB"/>
        </w:rPr>
        <w:t xml:space="preserve">proportion of children living in single-adult households </w:t>
      </w:r>
      <w:r w:rsidR="00CC3352" w:rsidRPr="00AE38CA">
        <w:rPr>
          <w:lang w:bidi="en-GB"/>
        </w:rPr>
        <w:t>is 10.9%</w:t>
      </w:r>
      <w:r w:rsidR="007B1F4B" w:rsidRPr="00AE38CA">
        <w:rPr>
          <w:lang w:bidi="en-GB"/>
        </w:rPr>
        <w:t xml:space="preserve">, </w:t>
      </w:r>
      <w:r w:rsidR="00C85DAD" w:rsidRPr="00AE38CA">
        <w:rPr>
          <w:lang w:bidi="en-GB"/>
        </w:rPr>
        <w:t xml:space="preserve">a rather average position </w:t>
      </w:r>
      <w:r w:rsidR="006E32DE" w:rsidRPr="00AE38CA">
        <w:rPr>
          <w:lang w:bidi="en-GB"/>
        </w:rPr>
        <w:t xml:space="preserve">in comparison to the </w:t>
      </w:r>
      <w:r w:rsidR="00BA2CB2" w:rsidRPr="00AE38CA">
        <w:rPr>
          <w:lang w:bidi="en-GB"/>
        </w:rPr>
        <w:t xml:space="preserve">other </w:t>
      </w:r>
      <w:r w:rsidR="00EE6908" w:rsidRPr="00AE38CA">
        <w:rPr>
          <w:lang w:bidi="en-GB"/>
        </w:rPr>
        <w:t xml:space="preserve">EU-countries </w:t>
      </w:r>
      <w:r w:rsidR="00BA2CB2" w:rsidRPr="00AE38CA">
        <w:rPr>
          <w:lang w:bidi="en-GB"/>
        </w:rPr>
        <w:t>(</w:t>
      </w:r>
      <w:r w:rsidR="00EE6908" w:rsidRPr="00AE38CA">
        <w:rPr>
          <w:lang w:bidi="en-GB"/>
        </w:rPr>
        <w:t xml:space="preserve">range from </w:t>
      </w:r>
      <w:r w:rsidR="00A423E5" w:rsidRPr="00AE38CA">
        <w:rPr>
          <w:lang w:bidi="en-GB"/>
        </w:rPr>
        <w:t>4%</w:t>
      </w:r>
      <w:r w:rsidR="00EE6908" w:rsidRPr="00AE38CA">
        <w:rPr>
          <w:lang w:bidi="en-GB"/>
        </w:rPr>
        <w:t xml:space="preserve"> to 1</w:t>
      </w:r>
      <w:r w:rsidR="000103F7" w:rsidRPr="00AE38CA">
        <w:rPr>
          <w:lang w:bidi="en-GB"/>
        </w:rPr>
        <w:t>8%</w:t>
      </w:r>
      <w:r w:rsidR="00C85DAD" w:rsidRPr="00AE38CA">
        <w:rPr>
          <w:lang w:bidi="en-GB"/>
        </w:rPr>
        <w:t xml:space="preserve">). </w:t>
      </w:r>
      <w:r w:rsidR="00A423E5" w:rsidRPr="00AE38CA">
        <w:rPr>
          <w:lang w:bidi="en-GB"/>
        </w:rPr>
        <w:t>It also shows that the proportion of children in single-adult households confronted with income poverty and/or child-specific deprivation is very high in most countries</w:t>
      </w:r>
      <w:r w:rsidR="00364243" w:rsidRPr="00AE38CA">
        <w:rPr>
          <w:lang w:bidi="en-GB"/>
        </w:rPr>
        <w:t xml:space="preserve"> (range </w:t>
      </w:r>
      <w:r w:rsidR="001112CF" w:rsidRPr="00AE38CA">
        <w:rPr>
          <w:lang w:bidi="en-GB"/>
        </w:rPr>
        <w:t xml:space="preserve">between </w:t>
      </w:r>
      <w:r w:rsidR="00CF0584" w:rsidRPr="00AE38CA">
        <w:rPr>
          <w:lang w:bidi="en-GB"/>
        </w:rPr>
        <w:t>16% and 94%)</w:t>
      </w:r>
      <w:r w:rsidR="00364243" w:rsidRPr="00AE38CA">
        <w:rPr>
          <w:lang w:bidi="en-GB"/>
        </w:rPr>
        <w:t xml:space="preserve">. </w:t>
      </w:r>
      <w:r w:rsidR="00BB2808" w:rsidRPr="00AE38CA">
        <w:rPr>
          <w:lang w:bidi="en-GB"/>
        </w:rPr>
        <w:t>I</w:t>
      </w:r>
      <w:r w:rsidR="00364243" w:rsidRPr="00AE38CA">
        <w:rPr>
          <w:lang w:bidi="en-GB"/>
        </w:rPr>
        <w:t>n the Netherlands</w:t>
      </w:r>
      <w:r w:rsidR="00634341" w:rsidRPr="00AE38CA">
        <w:rPr>
          <w:lang w:bidi="en-GB"/>
        </w:rPr>
        <w:t xml:space="preserve"> </w:t>
      </w:r>
      <w:r w:rsidR="00BB2808" w:rsidRPr="00AE38CA">
        <w:rPr>
          <w:lang w:bidi="en-GB"/>
        </w:rPr>
        <w:t xml:space="preserve">the </w:t>
      </w:r>
      <w:r w:rsidR="00634341" w:rsidRPr="00AE38CA">
        <w:rPr>
          <w:lang w:bidi="en-GB"/>
        </w:rPr>
        <w:t xml:space="preserve">share </w:t>
      </w:r>
      <w:r w:rsidR="00BB2808" w:rsidRPr="00AE38CA">
        <w:rPr>
          <w:lang w:bidi="en-GB"/>
        </w:rPr>
        <w:t xml:space="preserve">is </w:t>
      </w:r>
      <w:r w:rsidR="004268E5" w:rsidRPr="00AE38CA">
        <w:rPr>
          <w:lang w:bidi="en-GB"/>
        </w:rPr>
        <w:t xml:space="preserve">substantial, but </w:t>
      </w:r>
      <w:r w:rsidR="00BB2808" w:rsidRPr="00AE38CA">
        <w:rPr>
          <w:lang w:bidi="en-GB"/>
        </w:rPr>
        <w:t>relatively mild (</w:t>
      </w:r>
      <w:r w:rsidR="00634341" w:rsidRPr="00AE38CA">
        <w:rPr>
          <w:lang w:bidi="en-GB"/>
        </w:rPr>
        <w:t>44.7%</w:t>
      </w:r>
      <w:r w:rsidR="00BB2808" w:rsidRPr="00AE38CA">
        <w:rPr>
          <w:lang w:bidi="en-GB"/>
        </w:rPr>
        <w:t>)</w:t>
      </w:r>
      <w:r w:rsidR="00295689" w:rsidRPr="00AE38CA">
        <w:rPr>
          <w:lang w:bidi="en-GB"/>
        </w:rPr>
        <w:t xml:space="preserve"> in comparison to </w:t>
      </w:r>
      <w:r w:rsidR="003740F3" w:rsidRPr="00AE38CA">
        <w:rPr>
          <w:lang w:bidi="en-GB"/>
        </w:rPr>
        <w:t xml:space="preserve">the other </w:t>
      </w:r>
      <w:r w:rsidR="005D72C5" w:rsidRPr="00AE38CA">
        <w:rPr>
          <w:lang w:bidi="en-GB"/>
        </w:rPr>
        <w:t>EU-countries</w:t>
      </w:r>
      <w:r w:rsidR="003740F3" w:rsidRPr="00AE38CA">
        <w:rPr>
          <w:lang w:bidi="en-GB"/>
        </w:rPr>
        <w:t>. Only three</w:t>
      </w:r>
      <w:r w:rsidR="005D72C5" w:rsidRPr="00AE38CA">
        <w:rPr>
          <w:lang w:bidi="en-GB"/>
        </w:rPr>
        <w:t xml:space="preserve"> have better scores.</w:t>
      </w:r>
    </w:p>
    <w:p w14:paraId="0F92EB2F" w14:textId="77777777" w:rsidR="00F86F43" w:rsidRPr="00AE38CA" w:rsidRDefault="00F86F43" w:rsidP="00A3111D">
      <w:pPr>
        <w:spacing w:before="120" w:after="120"/>
        <w:jc w:val="left"/>
        <w:rPr>
          <w:rFonts w:ascii="Verdana" w:hAnsi="Verdana"/>
          <w:b/>
          <w:color w:val="263673"/>
          <w:sz w:val="19"/>
          <w:szCs w:val="22"/>
        </w:rPr>
      </w:pPr>
    </w:p>
    <w:p w14:paraId="79C0A826" w14:textId="7C92965D" w:rsidR="00A3111D" w:rsidRPr="00AE38CA" w:rsidRDefault="005634B1" w:rsidP="00CE67C9">
      <w:pPr>
        <w:pStyle w:val="Plattetekst"/>
        <w:rPr>
          <w:b/>
          <w:lang w:bidi="en-GB"/>
        </w:rPr>
      </w:pPr>
      <w:r w:rsidRPr="00AE38CA">
        <w:rPr>
          <w:lang w:bidi="en-GB"/>
        </w:rPr>
        <w:br w:type="page"/>
      </w:r>
      <w:r w:rsidR="00A3111D" w:rsidRPr="00AE38CA">
        <w:rPr>
          <w:b/>
          <w:lang w:bidi="en-GB"/>
        </w:rPr>
        <w:lastRenderedPageBreak/>
        <w:t xml:space="preserve">Figure </w:t>
      </w:r>
      <w:r w:rsidR="00F86F43" w:rsidRPr="00AE38CA">
        <w:rPr>
          <w:b/>
          <w:lang w:bidi="en-GB"/>
        </w:rPr>
        <w:t>4</w:t>
      </w:r>
      <w:r w:rsidR="00A3111D" w:rsidRPr="00AE38CA">
        <w:rPr>
          <w:b/>
          <w:lang w:bidi="en-GB"/>
        </w:rPr>
        <w:t xml:space="preserve">: </w:t>
      </w:r>
      <w:r w:rsidR="006657AA" w:rsidRPr="00AE38CA">
        <w:rPr>
          <w:b/>
        </w:rPr>
        <w:t>Proportion of children (aged between 1 and 15 years) living in single-adult household (left hand scale) and, among them, proportion of children who lack at least three child-specific items (out of 17) or who suffer from income poverty (right hand scale), EU-28 Member States, 2014, %</w:t>
      </w:r>
    </w:p>
    <w:p w14:paraId="6EFFA8FF" w14:textId="142484F4" w:rsidR="00A3111D" w:rsidRPr="00AE38CA" w:rsidRDefault="004268D4" w:rsidP="00A3111D">
      <w:pPr>
        <w:spacing w:after="160" w:line="259" w:lineRule="auto"/>
        <w:rPr>
          <w:rFonts w:ascii="Verdana" w:eastAsia="Calibri" w:hAnsi="Verdana"/>
          <w:sz w:val="20"/>
          <w:szCs w:val="22"/>
        </w:rPr>
      </w:pPr>
      <w:r w:rsidRPr="00AE38CA">
        <w:rPr>
          <w:rFonts w:ascii="Verdana" w:eastAsia="Calibri" w:hAnsi="Verdana"/>
          <w:noProof/>
          <w:sz w:val="20"/>
          <w:szCs w:val="22"/>
          <w:lang w:val="en-IE" w:eastAsia="en-IE"/>
        </w:rPr>
        <w:drawing>
          <wp:inline distT="0" distB="0" distL="0" distR="0" wp14:anchorId="6DF64713" wp14:editId="42D5838D">
            <wp:extent cx="5824220" cy="2640330"/>
            <wp:effectExtent l="0" t="0" r="0" b="0"/>
            <wp:docPr id="14" name="Afbeelding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1032DC1" w14:textId="64151D40" w:rsidR="00A3111D" w:rsidRPr="00AE38CA" w:rsidRDefault="00A3111D" w:rsidP="00A3111D">
      <w:pPr>
        <w:spacing w:before="60" w:after="160" w:line="259" w:lineRule="auto"/>
        <w:jc w:val="left"/>
        <w:rPr>
          <w:rFonts w:ascii="Verdana" w:hAnsi="Verdana" w:cs="Calibri"/>
          <w:sz w:val="18"/>
          <w:szCs w:val="19"/>
        </w:rPr>
      </w:pPr>
      <w:r w:rsidRPr="00AE38CA">
        <w:rPr>
          <w:rFonts w:ascii="Verdana" w:hAnsi="Verdana" w:cs="Calibri"/>
          <w:sz w:val="18"/>
          <w:szCs w:val="19"/>
        </w:rPr>
        <w:t>Source: EU-SILC 2014, UDB version November 2016, own calculations</w:t>
      </w:r>
      <w:r w:rsidR="00AE0586" w:rsidRPr="00AE38CA">
        <w:rPr>
          <w:rFonts w:ascii="Verdana" w:hAnsi="Verdana" w:cs="Calibri"/>
          <w:sz w:val="18"/>
          <w:szCs w:val="19"/>
        </w:rPr>
        <w:t>, as published in FSCG Inception Report</w:t>
      </w:r>
      <w:r w:rsidR="00472641" w:rsidRPr="00AE38CA">
        <w:rPr>
          <w:rFonts w:ascii="Verdana" w:hAnsi="Verdana" w:cs="Calibri"/>
          <w:i/>
          <w:sz w:val="18"/>
          <w:szCs w:val="19"/>
        </w:rPr>
        <w:t xml:space="preserve"> </w:t>
      </w:r>
      <w:r w:rsidR="00472641" w:rsidRPr="00AE38CA">
        <w:rPr>
          <w:rFonts w:ascii="Verdana" w:hAnsi="Verdana" w:cs="Calibri"/>
          <w:sz w:val="18"/>
          <w:szCs w:val="19"/>
        </w:rPr>
        <w:t>(2018)</w:t>
      </w:r>
    </w:p>
    <w:p w14:paraId="4B376BBB" w14:textId="0E5F484F" w:rsidR="002C2E72" w:rsidRPr="00AE38CA" w:rsidRDefault="002C2E72" w:rsidP="00B853BF">
      <w:pPr>
        <w:pStyle w:val="Plattetekst"/>
        <w:rPr>
          <w:lang w:bidi="en-GB"/>
        </w:rPr>
      </w:pPr>
    </w:p>
    <w:p w14:paraId="7865BCE3" w14:textId="64B2194A" w:rsidR="006A501F" w:rsidRPr="00AE38CA" w:rsidRDefault="00493C84" w:rsidP="003D58CA">
      <w:pPr>
        <w:spacing w:after="0"/>
        <w:rPr>
          <w:i/>
        </w:rPr>
      </w:pPr>
      <w:r w:rsidRPr="00AE38CA">
        <w:rPr>
          <w:rFonts w:ascii="Verdana" w:hAnsi="Verdana"/>
          <w:i/>
          <w:sz w:val="20"/>
        </w:rPr>
        <w:t>Size of sub</w:t>
      </w:r>
      <w:r w:rsidR="000D599A" w:rsidRPr="00AE38CA">
        <w:rPr>
          <w:rFonts w:ascii="Verdana" w:hAnsi="Verdana"/>
          <w:i/>
          <w:sz w:val="20"/>
        </w:rPr>
        <w:t xml:space="preserve">group </w:t>
      </w:r>
      <w:r w:rsidR="006A501F" w:rsidRPr="00AE38CA">
        <w:rPr>
          <w:rFonts w:ascii="Verdana" w:hAnsi="Verdana"/>
          <w:i/>
          <w:sz w:val="20"/>
        </w:rPr>
        <w:t>Roma</w:t>
      </w:r>
      <w:r w:rsidR="000D1BC1" w:rsidRPr="00AE38CA">
        <w:rPr>
          <w:rFonts w:ascii="Verdana" w:hAnsi="Verdana"/>
          <w:i/>
          <w:sz w:val="20"/>
        </w:rPr>
        <w:t xml:space="preserve"> children</w:t>
      </w:r>
    </w:p>
    <w:p w14:paraId="5187B4CF" w14:textId="77777777" w:rsidR="00454AE6" w:rsidRPr="00AE38CA" w:rsidRDefault="00454AE6" w:rsidP="000C7F87">
      <w:pPr>
        <w:pStyle w:val="Plattetekst"/>
        <w:rPr>
          <w:lang w:bidi="en-GB"/>
        </w:rPr>
      </w:pPr>
      <w:r w:rsidRPr="00AE38CA">
        <w:rPr>
          <w:lang w:bidi="en-GB"/>
        </w:rPr>
        <w:t>No reliable figures are known about the size of the Roma in the Netherlands. Estimates range from a few thousand (various newspaper reports) to a maximum of 35,000 (</w:t>
      </w:r>
      <w:proofErr w:type="spellStart"/>
      <w:r w:rsidRPr="00AE38CA">
        <w:rPr>
          <w:lang w:bidi="en-GB"/>
        </w:rPr>
        <w:t>Sollie</w:t>
      </w:r>
      <w:proofErr w:type="spellEnd"/>
      <w:r w:rsidRPr="00AE38CA">
        <w:rPr>
          <w:lang w:bidi="en-GB"/>
        </w:rPr>
        <w:t xml:space="preserve"> et al., 2013).</w:t>
      </w:r>
    </w:p>
    <w:p w14:paraId="73F417CC" w14:textId="58292EFA" w:rsidR="0043021B" w:rsidRPr="00AE38CA" w:rsidRDefault="002151B0" w:rsidP="003979E9">
      <w:pPr>
        <w:pStyle w:val="Plattetekst"/>
        <w:rPr>
          <w:lang w:bidi="en-GB"/>
        </w:rPr>
      </w:pPr>
      <w:r w:rsidRPr="00AE38CA">
        <w:rPr>
          <w:lang w:bidi="en-GB"/>
        </w:rPr>
        <w:t>T</w:t>
      </w:r>
      <w:r w:rsidR="005E46F0" w:rsidRPr="00AE38CA">
        <w:rPr>
          <w:lang w:bidi="en-GB"/>
        </w:rPr>
        <w:t xml:space="preserve">he </w:t>
      </w:r>
      <w:r w:rsidR="00F71C5C" w:rsidRPr="00AE38CA">
        <w:rPr>
          <w:lang w:bidi="en-GB"/>
        </w:rPr>
        <w:t>housing</w:t>
      </w:r>
      <w:r w:rsidR="0043021B" w:rsidRPr="00AE38CA">
        <w:rPr>
          <w:lang w:bidi="en-GB"/>
        </w:rPr>
        <w:t xml:space="preserve"> and living conditions of Roma </w:t>
      </w:r>
      <w:r w:rsidR="005E46F0" w:rsidRPr="00AE38CA">
        <w:rPr>
          <w:lang w:bidi="en-GB"/>
        </w:rPr>
        <w:t>are monitored</w:t>
      </w:r>
      <w:r w:rsidRPr="00AE38CA">
        <w:rPr>
          <w:lang w:bidi="en-GB"/>
        </w:rPr>
        <w:t xml:space="preserve"> under commission of the Ministry of Social Affairs and Employment </w:t>
      </w:r>
      <w:r w:rsidR="0043021B" w:rsidRPr="00AE38CA">
        <w:rPr>
          <w:lang w:bidi="en-GB"/>
        </w:rPr>
        <w:t>(</w:t>
      </w:r>
      <w:proofErr w:type="spellStart"/>
      <w:r w:rsidR="0043021B" w:rsidRPr="00AE38CA">
        <w:rPr>
          <w:lang w:bidi="en-GB"/>
        </w:rPr>
        <w:t>Risbo</w:t>
      </w:r>
      <w:proofErr w:type="spellEnd"/>
      <w:r w:rsidR="0043021B" w:rsidRPr="00AE38CA">
        <w:rPr>
          <w:lang w:bidi="en-GB"/>
        </w:rPr>
        <w:t xml:space="preserve">, 2018). The monitor study shows a range of problems that also concern the children: early school leaving and absenteeism, involvement in criminal activities, </w:t>
      </w:r>
      <w:r w:rsidR="003B7211" w:rsidRPr="00AE38CA">
        <w:rPr>
          <w:lang w:bidi="en-GB"/>
        </w:rPr>
        <w:t xml:space="preserve">and </w:t>
      </w:r>
      <w:r w:rsidR="0043021B" w:rsidRPr="00AE38CA">
        <w:rPr>
          <w:lang w:bidi="en-GB"/>
        </w:rPr>
        <w:t>forced marriage</w:t>
      </w:r>
      <w:r w:rsidR="006E7A66" w:rsidRPr="00AE38CA">
        <w:rPr>
          <w:lang w:bidi="en-GB"/>
        </w:rPr>
        <w:t>s</w:t>
      </w:r>
      <w:r w:rsidR="0043021B" w:rsidRPr="00AE38CA">
        <w:rPr>
          <w:lang w:bidi="en-GB"/>
        </w:rPr>
        <w:t xml:space="preserve">. The monitor shows that the problems have </w:t>
      </w:r>
      <w:r w:rsidR="004714A7" w:rsidRPr="00AE38CA">
        <w:rPr>
          <w:lang w:bidi="en-GB"/>
        </w:rPr>
        <w:t xml:space="preserve">not </w:t>
      </w:r>
      <w:r w:rsidR="00E27501" w:rsidRPr="00AE38CA">
        <w:rPr>
          <w:lang w:bidi="en-GB"/>
        </w:rPr>
        <w:t xml:space="preserve">diminished </w:t>
      </w:r>
      <w:r w:rsidR="00933E70" w:rsidRPr="00AE38CA">
        <w:rPr>
          <w:lang w:bidi="en-GB"/>
        </w:rPr>
        <w:t xml:space="preserve">in the period </w:t>
      </w:r>
      <w:r w:rsidR="00B954F1" w:rsidRPr="00AE38CA">
        <w:rPr>
          <w:lang w:bidi="en-GB"/>
        </w:rPr>
        <w:t xml:space="preserve">between </w:t>
      </w:r>
      <w:r w:rsidR="00933E70" w:rsidRPr="00AE38CA">
        <w:rPr>
          <w:lang w:bidi="en-GB"/>
        </w:rPr>
        <w:t>2013-2018</w:t>
      </w:r>
      <w:r w:rsidR="0043021B" w:rsidRPr="00AE38CA">
        <w:rPr>
          <w:lang w:bidi="en-GB"/>
        </w:rPr>
        <w:t>. The minister of Social Affairs and Employment will start a pilot with mediators, aimed at promoting the participation of young Roma adolescents in (further) training</w:t>
      </w:r>
      <w:r w:rsidR="003979E9" w:rsidRPr="00AE38CA">
        <w:rPr>
          <w:lang w:bidi="en-GB"/>
        </w:rPr>
        <w:t>,</w:t>
      </w:r>
      <w:r w:rsidR="0043021B" w:rsidRPr="00AE38CA">
        <w:rPr>
          <w:lang w:bidi="en-GB"/>
        </w:rPr>
        <w:t xml:space="preserve"> internship</w:t>
      </w:r>
      <w:r w:rsidR="003979E9" w:rsidRPr="00AE38CA">
        <w:rPr>
          <w:lang w:bidi="en-GB"/>
        </w:rPr>
        <w:t>s</w:t>
      </w:r>
      <w:r w:rsidR="0043021B" w:rsidRPr="00AE38CA">
        <w:rPr>
          <w:lang w:bidi="en-GB"/>
        </w:rPr>
        <w:t xml:space="preserve"> and job placement</w:t>
      </w:r>
      <w:r w:rsidR="003979E9" w:rsidRPr="00AE38CA">
        <w:rPr>
          <w:lang w:bidi="en-GB"/>
        </w:rPr>
        <w:t>s</w:t>
      </w:r>
      <w:r w:rsidR="0043021B" w:rsidRPr="00AE38CA">
        <w:rPr>
          <w:lang w:bidi="en-GB"/>
        </w:rPr>
        <w:t xml:space="preserve"> (</w:t>
      </w:r>
      <w:proofErr w:type="spellStart"/>
      <w:r w:rsidR="0043021B" w:rsidRPr="00AE38CA">
        <w:rPr>
          <w:lang w:bidi="en-GB"/>
        </w:rPr>
        <w:t>Koolmees</w:t>
      </w:r>
      <w:proofErr w:type="spellEnd"/>
      <w:r w:rsidR="0043021B" w:rsidRPr="00AE38CA">
        <w:rPr>
          <w:lang w:bidi="en-GB"/>
        </w:rPr>
        <w:t>, 2018).</w:t>
      </w:r>
    </w:p>
    <w:p w14:paraId="0C60F64B" w14:textId="034F31FA" w:rsidR="00F8677F" w:rsidRPr="00AE38CA" w:rsidRDefault="00222426" w:rsidP="00A32715">
      <w:pPr>
        <w:pStyle w:val="Plattetekst"/>
        <w:rPr>
          <w:lang w:bidi="en-GB"/>
        </w:rPr>
      </w:pPr>
      <w:r w:rsidRPr="00AE38CA">
        <w:rPr>
          <w:lang w:bidi="en-GB"/>
        </w:rPr>
        <w:t>In 201</w:t>
      </w:r>
      <w:r w:rsidR="00010118" w:rsidRPr="00AE38CA">
        <w:rPr>
          <w:lang w:bidi="en-GB"/>
        </w:rPr>
        <w:t>8</w:t>
      </w:r>
      <w:r w:rsidR="000F0214" w:rsidRPr="00AE38CA">
        <w:rPr>
          <w:lang w:bidi="en-GB"/>
        </w:rPr>
        <w:t xml:space="preserve">, </w:t>
      </w:r>
      <w:r w:rsidR="00F8677F" w:rsidRPr="00AE38CA">
        <w:rPr>
          <w:lang w:bidi="en-GB"/>
        </w:rPr>
        <w:t>Defen</w:t>
      </w:r>
      <w:r w:rsidR="0032557E" w:rsidRPr="00AE38CA">
        <w:rPr>
          <w:lang w:bidi="en-GB"/>
        </w:rPr>
        <w:t>c</w:t>
      </w:r>
      <w:r w:rsidR="00F8677F" w:rsidRPr="00AE38CA">
        <w:rPr>
          <w:lang w:bidi="en-GB"/>
        </w:rPr>
        <w:t>e for Children conducted research into solutions for Roma children who are victims of criminal exploitation. In the Netherlands, since 2007</w:t>
      </w:r>
      <w:r w:rsidR="00721E76" w:rsidRPr="00AE38CA">
        <w:rPr>
          <w:lang w:bidi="en-GB"/>
        </w:rPr>
        <w:t>,</w:t>
      </w:r>
      <w:r w:rsidR="00F8677F" w:rsidRPr="00AE38CA">
        <w:rPr>
          <w:lang w:bidi="en-GB"/>
        </w:rPr>
        <w:t xml:space="preserve"> the problem has been identified of </w:t>
      </w:r>
      <w:r w:rsidR="00721E76" w:rsidRPr="00AE38CA">
        <w:rPr>
          <w:lang w:bidi="en-GB"/>
        </w:rPr>
        <w:t>unaccompanied</w:t>
      </w:r>
      <w:r w:rsidR="00DC17D8" w:rsidRPr="00AE38CA">
        <w:rPr>
          <w:lang w:bidi="en-GB"/>
        </w:rPr>
        <w:t xml:space="preserve"> </w:t>
      </w:r>
      <w:r w:rsidR="00F8677F" w:rsidRPr="00AE38CA">
        <w:rPr>
          <w:lang w:bidi="en-GB"/>
        </w:rPr>
        <w:t xml:space="preserve">Eastern European children </w:t>
      </w:r>
      <w:r w:rsidR="000E0DA9" w:rsidRPr="00AE38CA">
        <w:rPr>
          <w:lang w:bidi="en-GB"/>
        </w:rPr>
        <w:t xml:space="preserve">on the move </w:t>
      </w:r>
      <w:r w:rsidR="00F8677F" w:rsidRPr="00AE38CA">
        <w:rPr>
          <w:lang w:bidi="en-GB"/>
        </w:rPr>
        <w:t xml:space="preserve">who are </w:t>
      </w:r>
      <w:r w:rsidR="00791A14" w:rsidRPr="00AE38CA">
        <w:rPr>
          <w:lang w:bidi="en-GB"/>
        </w:rPr>
        <w:t xml:space="preserve">involved in criminal activities or </w:t>
      </w:r>
      <w:r w:rsidR="00096A07" w:rsidRPr="00AE38CA">
        <w:rPr>
          <w:lang w:bidi="en-GB"/>
        </w:rPr>
        <w:t>begging</w:t>
      </w:r>
      <w:r w:rsidR="00F8677F" w:rsidRPr="00AE38CA">
        <w:rPr>
          <w:lang w:bidi="en-GB"/>
        </w:rPr>
        <w:t>. They are suspected victims of criminal exploitation</w:t>
      </w:r>
      <w:r w:rsidR="00147F79" w:rsidRPr="00AE38CA">
        <w:rPr>
          <w:lang w:bidi="en-GB"/>
        </w:rPr>
        <w:t xml:space="preserve"> and trafficking</w:t>
      </w:r>
      <w:r w:rsidR="00F8677F" w:rsidRPr="00AE38CA">
        <w:rPr>
          <w:lang w:bidi="en-GB"/>
        </w:rPr>
        <w:t>. In 2016, a total of 252 Eastern European children were arrested for offen</w:t>
      </w:r>
      <w:r w:rsidR="006976F7" w:rsidRPr="00AE38CA">
        <w:rPr>
          <w:lang w:bidi="en-GB"/>
        </w:rPr>
        <w:t>c</w:t>
      </w:r>
      <w:r w:rsidR="00F8677F" w:rsidRPr="00AE38CA">
        <w:rPr>
          <w:lang w:bidi="en-GB"/>
        </w:rPr>
        <w:t xml:space="preserve">es such as shoplifting, pickpocketing, </w:t>
      </w:r>
      <w:r w:rsidR="00C00EBB" w:rsidRPr="00AE38CA">
        <w:rPr>
          <w:lang w:bidi="en-GB"/>
        </w:rPr>
        <w:t xml:space="preserve">home invasion </w:t>
      </w:r>
      <w:r w:rsidR="00F8677F" w:rsidRPr="00AE38CA">
        <w:rPr>
          <w:lang w:bidi="en-GB"/>
        </w:rPr>
        <w:t>tricks and burglary.</w:t>
      </w:r>
    </w:p>
    <w:p w14:paraId="01171C34" w14:textId="2214015C" w:rsidR="00F8677F" w:rsidRPr="00AE38CA" w:rsidRDefault="0055228D" w:rsidP="00F8677F">
      <w:pPr>
        <w:pStyle w:val="HTML-voorafopgemaakt"/>
        <w:rPr>
          <w:rFonts w:ascii="Verdana" w:hAnsi="Verdana" w:cs="Times New Roman"/>
          <w:lang w:val="en-GB" w:eastAsia="en-US" w:bidi="en-GB"/>
        </w:rPr>
      </w:pPr>
      <w:r w:rsidRPr="00AE38CA">
        <w:rPr>
          <w:rFonts w:ascii="Verdana" w:hAnsi="Verdana" w:cs="Times New Roman"/>
          <w:lang w:val="en-GB" w:eastAsia="en-US" w:bidi="en-GB"/>
        </w:rPr>
        <w:t>Within t</w:t>
      </w:r>
      <w:r w:rsidR="00F8677F" w:rsidRPr="00AE38CA">
        <w:rPr>
          <w:rFonts w:ascii="Verdana" w:hAnsi="Verdana" w:cs="Times New Roman"/>
          <w:lang w:val="en-GB" w:eastAsia="en-US" w:bidi="en-GB"/>
        </w:rPr>
        <w:t xml:space="preserve">he Tackling Exploitation </w:t>
      </w:r>
      <w:r w:rsidR="00107AED" w:rsidRPr="00AE38CA">
        <w:rPr>
          <w:rFonts w:ascii="Verdana" w:hAnsi="Verdana" w:cs="Times New Roman"/>
          <w:lang w:val="en-GB" w:eastAsia="en-US" w:bidi="en-GB"/>
        </w:rPr>
        <w:t xml:space="preserve">of </w:t>
      </w:r>
      <w:r w:rsidR="00F8677F" w:rsidRPr="00AE38CA">
        <w:rPr>
          <w:rFonts w:ascii="Verdana" w:hAnsi="Verdana" w:cs="Times New Roman"/>
          <w:lang w:val="en-GB" w:eastAsia="en-US" w:bidi="en-GB"/>
        </w:rPr>
        <w:t>(Roma) Children</w:t>
      </w:r>
      <w:r w:rsidR="00107AED" w:rsidRPr="00AE38CA">
        <w:rPr>
          <w:rFonts w:ascii="Verdana" w:hAnsi="Verdana" w:cs="Times New Roman"/>
          <w:lang w:val="en-GB" w:eastAsia="en-US" w:bidi="en-GB"/>
        </w:rPr>
        <w:t xml:space="preserve"> Programme</w:t>
      </w:r>
      <w:r w:rsidR="00F8677F" w:rsidRPr="00AE38CA">
        <w:rPr>
          <w:rFonts w:ascii="Verdana" w:hAnsi="Verdana" w:cs="Times New Roman"/>
          <w:lang w:val="en-GB" w:eastAsia="en-US" w:bidi="en-GB"/>
        </w:rPr>
        <w:t xml:space="preserve">, </w:t>
      </w:r>
      <w:r w:rsidR="00107AED" w:rsidRPr="00AE38CA">
        <w:rPr>
          <w:rFonts w:ascii="Verdana" w:hAnsi="Verdana" w:cs="Times New Roman"/>
          <w:lang w:val="en-GB" w:eastAsia="en-US" w:bidi="en-GB"/>
        </w:rPr>
        <w:t xml:space="preserve">carried out by </w:t>
      </w:r>
      <w:r w:rsidR="00F8677F" w:rsidRPr="00AE38CA">
        <w:rPr>
          <w:rFonts w:ascii="Verdana" w:hAnsi="Verdana" w:cs="Times New Roman"/>
          <w:lang w:val="en-GB" w:eastAsia="en-US" w:bidi="en-GB"/>
        </w:rPr>
        <w:t>the Dutch government between 2011 and 2016, municipal testing grounds</w:t>
      </w:r>
      <w:r w:rsidRPr="00AE38CA">
        <w:rPr>
          <w:rFonts w:ascii="Verdana" w:hAnsi="Verdana" w:cs="Times New Roman"/>
          <w:lang w:val="en-GB" w:eastAsia="en-US" w:bidi="en-GB"/>
        </w:rPr>
        <w:t xml:space="preserve"> were set up</w:t>
      </w:r>
      <w:r w:rsidR="00F8677F" w:rsidRPr="00AE38CA">
        <w:rPr>
          <w:rFonts w:ascii="Verdana" w:hAnsi="Verdana" w:cs="Times New Roman"/>
          <w:lang w:val="en-GB" w:eastAsia="en-US" w:bidi="en-GB"/>
        </w:rPr>
        <w:t>. In these testing grounds new methods, methodologies and insights have been developed about working with multi-problem families with a Roma background. These methodologies and knowledge documents are available to other municipalities and chain partners (CCV).</w:t>
      </w:r>
    </w:p>
    <w:p w14:paraId="345A62E0" w14:textId="77777777" w:rsidR="00F8677F" w:rsidRPr="00AE38CA" w:rsidRDefault="00F8677F" w:rsidP="00B853BF">
      <w:pPr>
        <w:pStyle w:val="Plattetekst"/>
        <w:rPr>
          <w:lang w:bidi="en-GB"/>
        </w:rPr>
      </w:pPr>
    </w:p>
    <w:p w14:paraId="62BB9AB6" w14:textId="77777777" w:rsidR="007F59E6" w:rsidRPr="00AE38CA" w:rsidRDefault="007F59E6">
      <w:pPr>
        <w:spacing w:after="0"/>
        <w:jc w:val="left"/>
        <w:rPr>
          <w:rFonts w:ascii="Verdana" w:eastAsia="Verdana" w:hAnsi="Verdana"/>
          <w:b/>
          <w:sz w:val="22"/>
          <w:szCs w:val="22"/>
          <w:lang w:bidi="en-GB"/>
        </w:rPr>
      </w:pPr>
      <w:bookmarkStart w:id="4" w:name="_Toc532388661"/>
      <w:r w:rsidRPr="00AE38CA">
        <w:br w:type="page"/>
      </w:r>
    </w:p>
    <w:p w14:paraId="282CB4BC" w14:textId="4875276B" w:rsidR="005A40FD" w:rsidRPr="00AE38CA" w:rsidRDefault="005A40FD" w:rsidP="004771A1">
      <w:pPr>
        <w:pStyle w:val="Kop2"/>
      </w:pPr>
      <w:r w:rsidRPr="00AE38CA">
        <w:lastRenderedPageBreak/>
        <w:t>Overall situation of children residing in institutions</w:t>
      </w:r>
      <w:bookmarkEnd w:id="4"/>
    </w:p>
    <w:p w14:paraId="58A7DB1F" w14:textId="7C47E74E" w:rsidR="00BC5E1F" w:rsidRPr="00AE38CA" w:rsidRDefault="00237B4F" w:rsidP="00B853BF">
      <w:pPr>
        <w:pStyle w:val="Plattetekst"/>
      </w:pPr>
      <w:r w:rsidRPr="00AE38CA">
        <w:rPr>
          <w:lang w:bidi="en-GB"/>
        </w:rPr>
        <w:t xml:space="preserve">An indication </w:t>
      </w:r>
      <w:r w:rsidR="00B378CD" w:rsidRPr="00AE38CA">
        <w:rPr>
          <w:lang w:bidi="en-GB"/>
        </w:rPr>
        <w:t xml:space="preserve">of </w:t>
      </w:r>
      <w:r w:rsidR="00962098" w:rsidRPr="00AE38CA">
        <w:rPr>
          <w:lang w:bidi="en-GB"/>
        </w:rPr>
        <w:t xml:space="preserve">the number of </w:t>
      </w:r>
      <w:r w:rsidR="00962098" w:rsidRPr="00AE38CA">
        <w:t xml:space="preserve">children residing in institutions can be provided </w:t>
      </w:r>
      <w:r w:rsidR="000D326F" w:rsidRPr="00AE38CA">
        <w:t xml:space="preserve">with data from </w:t>
      </w:r>
      <w:r w:rsidR="004255C9" w:rsidRPr="00AE38CA">
        <w:t xml:space="preserve">the </w:t>
      </w:r>
      <w:r w:rsidR="000D326F" w:rsidRPr="00AE38CA">
        <w:t xml:space="preserve">Eurochild National Surveys </w:t>
      </w:r>
      <w:r w:rsidR="005C08D6" w:rsidRPr="00AE38CA">
        <w:t xml:space="preserve">of </w:t>
      </w:r>
      <w:r w:rsidR="000D326F" w:rsidRPr="00AE38CA">
        <w:t>2010 (2007-8 data</w:t>
      </w:r>
      <w:r w:rsidR="00C71E4E" w:rsidRPr="00AE38CA">
        <w:t>)</w:t>
      </w:r>
      <w:r w:rsidR="00175464" w:rsidRPr="00AE38CA">
        <w:t>.</w:t>
      </w:r>
      <w:r w:rsidR="00C71E4E" w:rsidRPr="00AE38CA">
        <w:t xml:space="preserve"> </w:t>
      </w:r>
      <w:r w:rsidR="00CC7FD0" w:rsidRPr="00AE38CA">
        <w:t xml:space="preserve">In the Netherlands </w:t>
      </w:r>
      <w:r w:rsidR="00FE4FB0" w:rsidRPr="00AE38CA">
        <w:t>o</w:t>
      </w:r>
      <w:r w:rsidR="0029323A" w:rsidRPr="00AE38CA">
        <w:t>ut of 14,</w:t>
      </w:r>
      <w:r w:rsidR="00AA4833" w:rsidRPr="00AE38CA">
        <w:t>516 bed</w:t>
      </w:r>
      <w:r w:rsidR="0079116C" w:rsidRPr="00AE38CA">
        <w:t xml:space="preserve">s </w:t>
      </w:r>
      <w:r w:rsidR="005B02AE" w:rsidRPr="00AE38CA">
        <w:t xml:space="preserve">for </w:t>
      </w:r>
      <w:r w:rsidR="00155877" w:rsidRPr="00AE38CA">
        <w:rPr>
          <w:bCs/>
        </w:rPr>
        <w:t>children in residential care</w:t>
      </w:r>
      <w:r w:rsidR="005B02AE" w:rsidRPr="00AE38CA">
        <w:rPr>
          <w:bCs/>
        </w:rPr>
        <w:t xml:space="preserve">, </w:t>
      </w:r>
      <w:r w:rsidR="00BA5F69" w:rsidRPr="00AE38CA">
        <w:rPr>
          <w:bCs/>
        </w:rPr>
        <w:t xml:space="preserve">4,500 </w:t>
      </w:r>
      <w:r w:rsidR="00903045" w:rsidRPr="00AE38CA">
        <w:rPr>
          <w:bCs/>
        </w:rPr>
        <w:t xml:space="preserve">are </w:t>
      </w:r>
      <w:r w:rsidR="00BC477C" w:rsidRPr="00AE38CA">
        <w:rPr>
          <w:bCs/>
        </w:rPr>
        <w:t xml:space="preserve">targeted at </w:t>
      </w:r>
      <w:r w:rsidR="00903045" w:rsidRPr="00AE38CA">
        <w:rPr>
          <w:bCs/>
        </w:rPr>
        <w:t>children with disabilities</w:t>
      </w:r>
      <w:r w:rsidR="00EA297E" w:rsidRPr="00AE38CA">
        <w:rPr>
          <w:bCs/>
        </w:rPr>
        <w:t>.</w:t>
      </w:r>
      <w:r w:rsidR="00835B38" w:rsidRPr="00AE38CA">
        <w:rPr>
          <w:bCs/>
        </w:rPr>
        <w:t xml:space="preserve"> </w:t>
      </w:r>
      <w:r w:rsidR="00FD362D" w:rsidRPr="00AE38CA">
        <w:rPr>
          <w:bCs/>
        </w:rPr>
        <w:t xml:space="preserve">Given the complexities in the data a </w:t>
      </w:r>
      <w:r w:rsidR="00D01866" w:rsidRPr="00AE38CA">
        <w:rPr>
          <w:bCs/>
        </w:rPr>
        <w:t xml:space="preserve">comparison with other EU-countries is hard to </w:t>
      </w:r>
      <w:r w:rsidR="0080552A" w:rsidRPr="00AE38CA">
        <w:rPr>
          <w:bCs/>
        </w:rPr>
        <w:t>make</w:t>
      </w:r>
      <w:r w:rsidR="00D01866" w:rsidRPr="00AE38CA">
        <w:rPr>
          <w:bCs/>
        </w:rPr>
        <w:t>.</w:t>
      </w:r>
    </w:p>
    <w:p w14:paraId="3F4F4DC1" w14:textId="77777777" w:rsidR="00EF72C0" w:rsidRPr="00AE38CA" w:rsidRDefault="00EF72C0" w:rsidP="00B853BF">
      <w:pPr>
        <w:pStyle w:val="Plattetekst"/>
        <w:rPr>
          <w:bCs/>
        </w:rPr>
      </w:pPr>
    </w:p>
    <w:p w14:paraId="5F57AA4C" w14:textId="750558F7" w:rsidR="002C2E72" w:rsidRPr="00AE38CA" w:rsidRDefault="002C2E72" w:rsidP="00835313">
      <w:pPr>
        <w:pStyle w:val="Plattetekst"/>
        <w:rPr>
          <w:b/>
          <w:i/>
          <w:color w:val="263673"/>
          <w:sz w:val="19"/>
          <w:szCs w:val="22"/>
        </w:rPr>
      </w:pPr>
      <w:r w:rsidRPr="00AE38CA">
        <w:rPr>
          <w:b/>
          <w:bCs/>
        </w:rPr>
        <w:t xml:space="preserve">Table </w:t>
      </w:r>
      <w:r w:rsidRPr="00AE38CA">
        <w:rPr>
          <w:b/>
          <w:bCs/>
        </w:rPr>
        <w:fldChar w:fldCharType="begin"/>
      </w:r>
      <w:r w:rsidRPr="00AE38CA">
        <w:rPr>
          <w:b/>
          <w:bCs/>
        </w:rPr>
        <w:instrText xml:space="preserve"> SEQ Table \* ARABIC </w:instrText>
      </w:r>
      <w:r w:rsidRPr="00AE38CA">
        <w:rPr>
          <w:b/>
          <w:bCs/>
        </w:rPr>
        <w:fldChar w:fldCharType="separate"/>
      </w:r>
      <w:r w:rsidR="00EC2F20">
        <w:rPr>
          <w:b/>
          <w:bCs/>
          <w:noProof/>
        </w:rPr>
        <w:t>1</w:t>
      </w:r>
      <w:r w:rsidRPr="00AE38CA">
        <w:rPr>
          <w:b/>
          <w:bCs/>
        </w:rPr>
        <w:fldChar w:fldCharType="end"/>
      </w:r>
      <w:r w:rsidR="000B288F" w:rsidRPr="00AE38CA">
        <w:rPr>
          <w:b/>
          <w:bCs/>
        </w:rPr>
        <w:t>a</w:t>
      </w:r>
      <w:r w:rsidRPr="00AE38CA">
        <w:rPr>
          <w:b/>
          <w:bCs/>
        </w:rPr>
        <w:t>: Number of children in residential care by EU country</w:t>
      </w:r>
    </w:p>
    <w:tbl>
      <w:tblPr>
        <w:tblW w:w="9214" w:type="dxa"/>
        <w:tblInd w:w="108" w:type="dxa"/>
        <w:tblLook w:val="04A0" w:firstRow="1" w:lastRow="0" w:firstColumn="1" w:lastColumn="0" w:noHBand="0" w:noVBand="1"/>
      </w:tblPr>
      <w:tblGrid>
        <w:gridCol w:w="5529"/>
        <w:gridCol w:w="3685"/>
      </w:tblGrid>
      <w:tr w:rsidR="00AA7FEC" w:rsidRPr="00AE38CA" w14:paraId="4BD38EC4" w14:textId="77777777" w:rsidTr="004521DB">
        <w:trPr>
          <w:trHeight w:val="227"/>
        </w:trPr>
        <w:tc>
          <w:tcPr>
            <w:tcW w:w="5529" w:type="dxa"/>
            <w:tcBorders>
              <w:top w:val="single" w:sz="4" w:space="0" w:color="auto"/>
              <w:left w:val="single" w:sz="8" w:space="0" w:color="auto"/>
              <w:bottom w:val="single" w:sz="4" w:space="0" w:color="auto"/>
              <w:right w:val="single" w:sz="4" w:space="0" w:color="auto"/>
            </w:tcBorders>
            <w:shd w:val="clear" w:color="auto" w:fill="auto"/>
            <w:noWrap/>
            <w:hideMark/>
          </w:tcPr>
          <w:p w14:paraId="43466A07" w14:textId="11A2DD9D" w:rsidR="00AA7FEC" w:rsidRPr="00AE38CA" w:rsidRDefault="00AA7FEC" w:rsidP="00AA7FEC">
            <w:pPr>
              <w:spacing w:after="160" w:line="259" w:lineRule="auto"/>
              <w:rPr>
                <w:rFonts w:ascii="Verdana" w:eastAsia="Calibri" w:hAnsi="Verdana" w:cs="Calibri"/>
                <w:color w:val="000000"/>
                <w:sz w:val="16"/>
                <w:szCs w:val="16"/>
              </w:rPr>
            </w:pPr>
            <w:r w:rsidRPr="00AE38CA">
              <w:rPr>
                <w:rFonts w:ascii="Verdana" w:eastAsia="Calibri" w:hAnsi="Verdana" w:cs="Calibri"/>
                <w:color w:val="000000"/>
                <w:sz w:val="16"/>
                <w:szCs w:val="16"/>
              </w:rPr>
              <w:t>Netherlands (No of beds)</w:t>
            </w:r>
          </w:p>
        </w:tc>
        <w:tc>
          <w:tcPr>
            <w:tcW w:w="3685" w:type="dxa"/>
            <w:tcBorders>
              <w:top w:val="single" w:sz="4" w:space="0" w:color="auto"/>
              <w:left w:val="nil"/>
              <w:bottom w:val="single" w:sz="4" w:space="0" w:color="auto"/>
              <w:right w:val="single" w:sz="8" w:space="0" w:color="auto"/>
            </w:tcBorders>
            <w:shd w:val="clear" w:color="auto" w:fill="auto"/>
            <w:hideMark/>
          </w:tcPr>
          <w:p w14:paraId="0C559F79" w14:textId="32A4A082" w:rsidR="00AA7FEC" w:rsidRPr="00AE38CA" w:rsidRDefault="00AA7FEC" w:rsidP="00AA7FEC">
            <w:pPr>
              <w:spacing w:after="160" w:line="259" w:lineRule="auto"/>
              <w:jc w:val="center"/>
              <w:rPr>
                <w:rFonts w:ascii="Verdana" w:eastAsia="Calibri" w:hAnsi="Verdana" w:cs="Calibri"/>
                <w:color w:val="000000"/>
                <w:sz w:val="16"/>
                <w:szCs w:val="16"/>
              </w:rPr>
            </w:pPr>
            <w:r w:rsidRPr="00AE38CA">
              <w:rPr>
                <w:rFonts w:ascii="Verdana" w:eastAsia="Calibri" w:hAnsi="Verdana" w:cs="Calibri"/>
                <w:color w:val="000000"/>
                <w:sz w:val="16"/>
                <w:szCs w:val="16"/>
              </w:rPr>
              <w:t xml:space="preserve">Eurochild National Surveys 2010 </w:t>
            </w:r>
            <w:r w:rsidR="00C870EB" w:rsidRPr="00AE38CA">
              <w:rPr>
                <w:rFonts w:ascii="Verdana" w:eastAsia="Calibri" w:hAnsi="Verdana" w:cs="Calibri"/>
                <w:color w:val="000000"/>
                <w:sz w:val="16"/>
                <w:szCs w:val="16"/>
              </w:rPr>
              <w:br/>
            </w:r>
            <w:r w:rsidRPr="00AE38CA">
              <w:rPr>
                <w:rFonts w:ascii="Verdana" w:eastAsia="Calibri" w:hAnsi="Verdana" w:cs="Calibri"/>
                <w:color w:val="000000"/>
                <w:sz w:val="16"/>
                <w:szCs w:val="16"/>
              </w:rPr>
              <w:t>(2007-8 data)</w:t>
            </w:r>
          </w:p>
        </w:tc>
      </w:tr>
      <w:tr w:rsidR="00AA7FEC" w:rsidRPr="00AE38CA" w14:paraId="4AB0851F" w14:textId="77777777" w:rsidTr="004521DB">
        <w:trPr>
          <w:trHeight w:val="227"/>
        </w:trPr>
        <w:tc>
          <w:tcPr>
            <w:tcW w:w="5529" w:type="dxa"/>
            <w:tcBorders>
              <w:top w:val="single" w:sz="4" w:space="0" w:color="auto"/>
              <w:left w:val="single" w:sz="8" w:space="0" w:color="auto"/>
              <w:bottom w:val="nil"/>
              <w:right w:val="single" w:sz="4" w:space="0" w:color="auto"/>
            </w:tcBorders>
            <w:shd w:val="clear" w:color="auto" w:fill="auto"/>
            <w:noWrap/>
            <w:vAlign w:val="bottom"/>
            <w:hideMark/>
          </w:tcPr>
          <w:p w14:paraId="0C4427C3" w14:textId="21A50D39" w:rsidR="00AA7FEC" w:rsidRPr="00AE38CA" w:rsidRDefault="00AA7FEC" w:rsidP="00AA7FEC">
            <w:pPr>
              <w:spacing w:after="160" w:line="259" w:lineRule="auto"/>
              <w:rPr>
                <w:rFonts w:ascii="Verdana" w:eastAsia="Calibri" w:hAnsi="Verdana" w:cs="Calibri"/>
                <w:color w:val="000000"/>
                <w:sz w:val="16"/>
                <w:szCs w:val="16"/>
              </w:rPr>
            </w:pPr>
            <w:r w:rsidRPr="00AE38CA">
              <w:rPr>
                <w:rFonts w:ascii="Verdana" w:eastAsia="Calibri" w:hAnsi="Verdana" w:cs="Calibri"/>
                <w:bCs/>
                <w:color w:val="000000"/>
                <w:sz w:val="16"/>
                <w:szCs w:val="16"/>
              </w:rPr>
              <w:t>Number of children in residential care (at the end of the year)</w:t>
            </w:r>
          </w:p>
        </w:tc>
        <w:tc>
          <w:tcPr>
            <w:tcW w:w="3685" w:type="dxa"/>
            <w:tcBorders>
              <w:top w:val="single" w:sz="4" w:space="0" w:color="auto"/>
              <w:left w:val="nil"/>
              <w:bottom w:val="nil"/>
              <w:right w:val="single" w:sz="8" w:space="0" w:color="auto"/>
            </w:tcBorders>
            <w:shd w:val="clear" w:color="auto" w:fill="auto"/>
            <w:noWrap/>
            <w:vAlign w:val="bottom"/>
            <w:hideMark/>
          </w:tcPr>
          <w:p w14:paraId="2597C6C0" w14:textId="63675DCC" w:rsidR="00AA7FEC" w:rsidRPr="00AE38CA" w:rsidRDefault="00AA7FEC" w:rsidP="004521DB">
            <w:pPr>
              <w:spacing w:after="160" w:line="259" w:lineRule="auto"/>
              <w:jc w:val="center"/>
              <w:rPr>
                <w:rFonts w:ascii="Verdana" w:eastAsia="Calibri" w:hAnsi="Verdana" w:cs="Calibri"/>
                <w:color w:val="000000"/>
                <w:sz w:val="16"/>
                <w:szCs w:val="16"/>
              </w:rPr>
            </w:pPr>
            <w:r w:rsidRPr="00AE38CA">
              <w:rPr>
                <w:rFonts w:ascii="Verdana" w:eastAsia="Calibri" w:hAnsi="Verdana" w:cs="Calibri"/>
                <w:color w:val="000000"/>
                <w:sz w:val="16"/>
                <w:szCs w:val="16"/>
              </w:rPr>
              <w:t>14,516</w:t>
            </w:r>
          </w:p>
        </w:tc>
      </w:tr>
      <w:tr w:rsidR="00AA7FEC" w:rsidRPr="00AE38CA" w14:paraId="12E3ED59" w14:textId="77777777" w:rsidTr="004521DB">
        <w:trPr>
          <w:trHeight w:val="227"/>
        </w:trPr>
        <w:tc>
          <w:tcPr>
            <w:tcW w:w="5529" w:type="dxa"/>
            <w:tcBorders>
              <w:top w:val="nil"/>
              <w:left w:val="single" w:sz="8" w:space="0" w:color="auto"/>
              <w:bottom w:val="single" w:sz="4" w:space="0" w:color="auto"/>
              <w:right w:val="single" w:sz="4" w:space="0" w:color="auto"/>
            </w:tcBorders>
            <w:shd w:val="clear" w:color="auto" w:fill="auto"/>
            <w:noWrap/>
            <w:vAlign w:val="bottom"/>
          </w:tcPr>
          <w:p w14:paraId="0F9BAC41" w14:textId="5CE255C6" w:rsidR="00AA7FEC" w:rsidRPr="00AE38CA" w:rsidRDefault="004521DB" w:rsidP="00AA7FEC">
            <w:pPr>
              <w:spacing w:after="160" w:line="259" w:lineRule="auto"/>
              <w:rPr>
                <w:rFonts w:ascii="Verdana" w:eastAsia="Calibri" w:hAnsi="Verdana" w:cs="Calibri"/>
                <w:color w:val="000000"/>
                <w:sz w:val="16"/>
                <w:szCs w:val="16"/>
              </w:rPr>
            </w:pPr>
            <w:r w:rsidRPr="00AE38CA">
              <w:rPr>
                <w:rFonts w:ascii="Verdana" w:eastAsia="Calibri" w:hAnsi="Verdana" w:cs="Calibri"/>
                <w:bCs/>
                <w:color w:val="000000"/>
                <w:sz w:val="16"/>
                <w:szCs w:val="16"/>
              </w:rPr>
              <w:t>Number of children with disabilities out of the total number of children in residential care</w:t>
            </w:r>
          </w:p>
        </w:tc>
        <w:tc>
          <w:tcPr>
            <w:tcW w:w="3685" w:type="dxa"/>
            <w:tcBorders>
              <w:top w:val="nil"/>
              <w:left w:val="nil"/>
              <w:bottom w:val="single" w:sz="4" w:space="0" w:color="auto"/>
              <w:right w:val="single" w:sz="8" w:space="0" w:color="auto"/>
            </w:tcBorders>
            <w:shd w:val="clear" w:color="auto" w:fill="auto"/>
            <w:noWrap/>
            <w:vAlign w:val="bottom"/>
          </w:tcPr>
          <w:p w14:paraId="5110F716" w14:textId="7859E288" w:rsidR="00AA7FEC" w:rsidRPr="00AE38CA" w:rsidRDefault="004521DB" w:rsidP="004521DB">
            <w:pPr>
              <w:spacing w:after="160" w:line="259" w:lineRule="auto"/>
              <w:jc w:val="center"/>
              <w:rPr>
                <w:rFonts w:ascii="Verdana" w:eastAsia="Calibri" w:hAnsi="Verdana" w:cs="Calibri"/>
                <w:b/>
                <w:color w:val="000000"/>
                <w:sz w:val="16"/>
                <w:szCs w:val="16"/>
              </w:rPr>
            </w:pPr>
            <w:r w:rsidRPr="00AE38CA">
              <w:rPr>
                <w:rFonts w:ascii="Verdana" w:eastAsia="Calibri" w:hAnsi="Verdana"/>
                <w:color w:val="000000"/>
                <w:sz w:val="16"/>
                <w:szCs w:val="16"/>
              </w:rPr>
              <w:t>4,500</w:t>
            </w:r>
          </w:p>
        </w:tc>
      </w:tr>
    </w:tbl>
    <w:p w14:paraId="2F82A6FC" w14:textId="65863C5F" w:rsidR="002C2E72" w:rsidRPr="00AE38CA" w:rsidRDefault="002C2E72" w:rsidP="002C2E72">
      <w:pPr>
        <w:spacing w:before="60" w:after="160" w:line="259" w:lineRule="auto"/>
        <w:jc w:val="left"/>
        <w:rPr>
          <w:rFonts w:ascii="Verdana" w:hAnsi="Verdana" w:cs="Calibri"/>
          <w:sz w:val="18"/>
          <w:szCs w:val="19"/>
        </w:rPr>
      </w:pPr>
      <w:r w:rsidRPr="00AE38CA">
        <w:rPr>
          <w:rFonts w:ascii="Verdana" w:hAnsi="Verdana" w:cs="Calibri"/>
          <w:sz w:val="18"/>
          <w:szCs w:val="19"/>
        </w:rPr>
        <w:t xml:space="preserve">Sources: </w:t>
      </w:r>
      <w:hyperlink r:id="rId37" w:history="1">
        <w:r w:rsidR="00E446F2" w:rsidRPr="00AE38CA">
          <w:rPr>
            <w:rStyle w:val="Hyperlink"/>
            <w:rFonts w:ascii="Verdana" w:hAnsi="Verdana" w:cs="Calibri"/>
            <w:sz w:val="18"/>
            <w:szCs w:val="19"/>
          </w:rPr>
          <w:t>Unicef</w:t>
        </w:r>
        <w:r w:rsidR="00C00549" w:rsidRPr="00AE38CA">
          <w:rPr>
            <w:rStyle w:val="Hyperlink"/>
            <w:rFonts w:ascii="Verdana" w:hAnsi="Verdana" w:cs="Calibri"/>
            <w:sz w:val="18"/>
            <w:szCs w:val="19"/>
          </w:rPr>
          <w:t>-irc.org</w:t>
        </w:r>
      </w:hyperlink>
      <w:r w:rsidRPr="00AE38CA">
        <w:rPr>
          <w:rFonts w:ascii="Verdana" w:hAnsi="Verdana" w:cs="Calibri"/>
          <w:sz w:val="18"/>
          <w:szCs w:val="19"/>
        </w:rPr>
        <w:t xml:space="preserve">; </w:t>
      </w:r>
      <w:hyperlink r:id="rId38" w:history="1">
        <w:r w:rsidR="00B102A5" w:rsidRPr="00AE38CA">
          <w:rPr>
            <w:rStyle w:val="Hyperlink"/>
            <w:rFonts w:ascii="Verdana" w:hAnsi="Verdana" w:cs="Calibri"/>
            <w:sz w:val="18"/>
            <w:szCs w:val="19"/>
          </w:rPr>
          <w:t>Openingdoors.eu</w:t>
        </w:r>
      </w:hyperlink>
      <w:r w:rsidR="00B102A5" w:rsidRPr="00AE38CA">
        <w:rPr>
          <w:rFonts w:ascii="Verdana" w:hAnsi="Verdana" w:cs="Calibri"/>
          <w:sz w:val="18"/>
          <w:szCs w:val="19"/>
        </w:rPr>
        <w:t xml:space="preserve"> and </w:t>
      </w:r>
      <w:hyperlink r:id="rId39" w:history="1">
        <w:r w:rsidR="00B102A5" w:rsidRPr="00AE38CA">
          <w:rPr>
            <w:rStyle w:val="Hyperlink"/>
            <w:rFonts w:ascii="Verdana" w:hAnsi="Verdana" w:cs="Calibri"/>
            <w:sz w:val="18"/>
            <w:szCs w:val="19"/>
          </w:rPr>
          <w:t>Eurochild.org</w:t>
        </w:r>
      </w:hyperlink>
      <w:r w:rsidR="00D90D14" w:rsidRPr="00AE38CA">
        <w:rPr>
          <w:rFonts w:ascii="Verdana" w:hAnsi="Verdana" w:cs="Calibri"/>
          <w:sz w:val="18"/>
          <w:szCs w:val="19"/>
        </w:rPr>
        <w:t>, as published in FSCG Inception Report</w:t>
      </w:r>
      <w:r w:rsidRPr="00AE38CA">
        <w:rPr>
          <w:rFonts w:ascii="Verdana" w:hAnsi="Verdana" w:cs="Calibri"/>
          <w:sz w:val="18"/>
          <w:szCs w:val="19"/>
        </w:rPr>
        <w:t xml:space="preserve"> </w:t>
      </w:r>
      <w:r w:rsidR="00FD6FB6" w:rsidRPr="00AE38CA">
        <w:rPr>
          <w:rFonts w:ascii="Verdana" w:hAnsi="Verdana" w:cs="Calibri"/>
          <w:sz w:val="18"/>
          <w:szCs w:val="19"/>
        </w:rPr>
        <w:t>(2018)</w:t>
      </w:r>
    </w:p>
    <w:p w14:paraId="69C6E32C" w14:textId="060DACE0" w:rsidR="00383D6B" w:rsidRPr="00AE38CA" w:rsidRDefault="000C0BA6" w:rsidP="002C2E72">
      <w:pPr>
        <w:spacing w:before="60" w:after="160" w:line="259" w:lineRule="auto"/>
        <w:jc w:val="left"/>
        <w:rPr>
          <w:rFonts w:ascii="Verdana" w:hAnsi="Verdana" w:cs="Calibri"/>
          <w:sz w:val="20"/>
        </w:rPr>
      </w:pPr>
      <w:r w:rsidRPr="00AE38CA">
        <w:rPr>
          <w:rFonts w:ascii="Verdana" w:hAnsi="Verdana" w:cs="Calibri"/>
          <w:sz w:val="20"/>
        </w:rPr>
        <w:t>More recent data about children in re</w:t>
      </w:r>
      <w:r w:rsidR="006E0DE7" w:rsidRPr="00AE38CA">
        <w:rPr>
          <w:rFonts w:ascii="Verdana" w:hAnsi="Verdana" w:cs="Calibri"/>
          <w:sz w:val="20"/>
        </w:rPr>
        <w:t xml:space="preserve">sidential care </w:t>
      </w:r>
      <w:r w:rsidR="00061A08" w:rsidRPr="00AE38CA">
        <w:rPr>
          <w:rFonts w:ascii="Verdana" w:hAnsi="Verdana" w:cs="Calibri"/>
          <w:sz w:val="20"/>
        </w:rPr>
        <w:t xml:space="preserve">are presented </w:t>
      </w:r>
      <w:r w:rsidR="006E0DE7" w:rsidRPr="00AE38CA">
        <w:rPr>
          <w:rFonts w:ascii="Verdana" w:hAnsi="Verdana" w:cs="Calibri"/>
          <w:sz w:val="20"/>
        </w:rPr>
        <w:t xml:space="preserve">in the CBS </w:t>
      </w:r>
      <w:r w:rsidR="000F2E8E" w:rsidRPr="00AE38CA">
        <w:rPr>
          <w:rFonts w:ascii="Verdana" w:hAnsi="Verdana" w:cs="Calibri"/>
          <w:sz w:val="20"/>
        </w:rPr>
        <w:t>Y</w:t>
      </w:r>
      <w:r w:rsidR="006E0DE7" w:rsidRPr="00AE38CA">
        <w:rPr>
          <w:rFonts w:ascii="Verdana" w:hAnsi="Verdana" w:cs="Calibri"/>
          <w:sz w:val="20"/>
        </w:rPr>
        <w:t xml:space="preserve">outh </w:t>
      </w:r>
      <w:r w:rsidR="000F2E8E" w:rsidRPr="00AE38CA">
        <w:rPr>
          <w:rFonts w:ascii="Verdana" w:hAnsi="Verdana" w:cs="Calibri"/>
          <w:sz w:val="20"/>
        </w:rPr>
        <w:t>M</w:t>
      </w:r>
      <w:r w:rsidR="006E0DE7" w:rsidRPr="00AE38CA">
        <w:rPr>
          <w:rFonts w:ascii="Verdana" w:hAnsi="Verdana" w:cs="Calibri"/>
          <w:sz w:val="20"/>
        </w:rPr>
        <w:t>onitor</w:t>
      </w:r>
      <w:r w:rsidR="00E71FB3" w:rsidRPr="00AE38CA">
        <w:rPr>
          <w:rFonts w:ascii="Verdana" w:hAnsi="Verdana" w:cs="Calibri"/>
          <w:sz w:val="20"/>
        </w:rPr>
        <w:t xml:space="preserve"> (</w:t>
      </w:r>
      <w:proofErr w:type="spellStart"/>
      <w:r w:rsidR="00E71FB3" w:rsidRPr="00AE38CA">
        <w:rPr>
          <w:rFonts w:ascii="Verdana" w:hAnsi="Verdana" w:cs="Calibri"/>
          <w:sz w:val="20"/>
        </w:rPr>
        <w:t>Jaarrapport</w:t>
      </w:r>
      <w:proofErr w:type="spellEnd"/>
      <w:r w:rsidR="00E71FB3" w:rsidRPr="00AE38CA">
        <w:rPr>
          <w:rFonts w:ascii="Verdana" w:hAnsi="Verdana" w:cs="Calibri"/>
          <w:sz w:val="20"/>
        </w:rPr>
        <w:t xml:space="preserve"> </w:t>
      </w:r>
      <w:proofErr w:type="spellStart"/>
      <w:r w:rsidR="006347D6" w:rsidRPr="00AE38CA">
        <w:rPr>
          <w:rFonts w:ascii="Verdana" w:hAnsi="Verdana" w:cs="Calibri"/>
          <w:sz w:val="20"/>
        </w:rPr>
        <w:t>Landelijke</w:t>
      </w:r>
      <w:proofErr w:type="spellEnd"/>
      <w:r w:rsidR="006347D6" w:rsidRPr="00AE38CA">
        <w:rPr>
          <w:rFonts w:ascii="Verdana" w:hAnsi="Verdana" w:cs="Calibri"/>
          <w:sz w:val="20"/>
        </w:rPr>
        <w:t xml:space="preserve"> </w:t>
      </w:r>
      <w:proofErr w:type="spellStart"/>
      <w:r w:rsidR="006347D6" w:rsidRPr="00AE38CA">
        <w:rPr>
          <w:rFonts w:ascii="Verdana" w:hAnsi="Verdana" w:cs="Calibri"/>
          <w:sz w:val="20"/>
        </w:rPr>
        <w:t>Jeugdmonitor</w:t>
      </w:r>
      <w:proofErr w:type="spellEnd"/>
      <w:r w:rsidR="006347D6" w:rsidRPr="00AE38CA">
        <w:rPr>
          <w:rFonts w:ascii="Verdana" w:hAnsi="Verdana" w:cs="Calibri"/>
          <w:sz w:val="20"/>
        </w:rPr>
        <w:t xml:space="preserve"> 2018)</w:t>
      </w:r>
      <w:r w:rsidR="000F2E8E" w:rsidRPr="00AE38CA">
        <w:rPr>
          <w:rFonts w:ascii="Verdana" w:hAnsi="Verdana" w:cs="Calibri"/>
          <w:sz w:val="20"/>
        </w:rPr>
        <w:t xml:space="preserve">. </w:t>
      </w:r>
    </w:p>
    <w:p w14:paraId="0F9A6855" w14:textId="682D91C8" w:rsidR="00B95CB6" w:rsidRPr="00AE38CA" w:rsidRDefault="000B288F" w:rsidP="002C2E72">
      <w:pPr>
        <w:spacing w:before="60" w:after="160" w:line="259" w:lineRule="auto"/>
        <w:jc w:val="left"/>
        <w:rPr>
          <w:rFonts w:ascii="Verdana" w:hAnsi="Verdana" w:cs="Calibri"/>
          <w:sz w:val="20"/>
        </w:rPr>
      </w:pPr>
      <w:r w:rsidRPr="00AE38CA">
        <w:rPr>
          <w:rFonts w:ascii="Verdana" w:hAnsi="Verdana" w:cs="Calibri"/>
          <w:sz w:val="20"/>
        </w:rPr>
        <w:t>Table 1b</w:t>
      </w:r>
      <w:r w:rsidR="00061A08" w:rsidRPr="00AE38CA">
        <w:rPr>
          <w:rFonts w:ascii="Verdana" w:hAnsi="Verdana" w:cs="Calibri"/>
          <w:sz w:val="20"/>
        </w:rPr>
        <w:t xml:space="preserve">: </w:t>
      </w:r>
      <w:r w:rsidR="00383FFF" w:rsidRPr="00AE38CA">
        <w:rPr>
          <w:rFonts w:ascii="Verdana" w:hAnsi="Verdana" w:cs="Calibri"/>
          <w:sz w:val="20"/>
        </w:rPr>
        <w:t xml:space="preserve">Number of children under youth care </w:t>
      </w:r>
      <w:r w:rsidR="00AB79B2" w:rsidRPr="00AE38CA">
        <w:rPr>
          <w:rFonts w:ascii="Verdana" w:hAnsi="Verdana" w:cs="Calibri"/>
          <w:sz w:val="20"/>
        </w:rPr>
        <w:t xml:space="preserve">by type of care </w:t>
      </w:r>
      <w:r w:rsidR="005662EC" w:rsidRPr="00AE38CA">
        <w:rPr>
          <w:rFonts w:ascii="Verdana" w:hAnsi="Verdana" w:cs="Calibri"/>
          <w:sz w:val="20"/>
        </w:rPr>
        <w:t>(</w:t>
      </w:r>
      <w:r w:rsidR="00C8274F" w:rsidRPr="00AE38CA">
        <w:rPr>
          <w:rFonts w:ascii="Verdana" w:hAnsi="Verdana" w:cs="Calibri"/>
          <w:sz w:val="20"/>
        </w:rPr>
        <w:t>x</w:t>
      </w:r>
      <w:r w:rsidR="005662EC" w:rsidRPr="00AE38CA">
        <w:rPr>
          <w:rFonts w:ascii="Verdana" w:hAnsi="Verdana" w:cs="Calibri"/>
          <w:sz w:val="20"/>
        </w:rPr>
        <w:t>1</w:t>
      </w:r>
      <w:r w:rsidR="00AB79B2" w:rsidRPr="00AE38CA">
        <w:rPr>
          <w:rFonts w:ascii="Verdana" w:hAnsi="Verdana" w:cs="Calibri"/>
          <w:sz w:val="20"/>
        </w:rPr>
        <w:t>,</w:t>
      </w:r>
      <w:r w:rsidR="005662EC" w:rsidRPr="00AE38CA">
        <w:rPr>
          <w:rFonts w:ascii="Verdana" w:hAnsi="Verdana" w:cs="Calibri"/>
          <w:sz w:val="20"/>
        </w:rPr>
        <w:t>000)</w:t>
      </w:r>
    </w:p>
    <w:tbl>
      <w:tblPr>
        <w:tblStyle w:val="Tabelraster"/>
        <w:tblW w:w="0" w:type="auto"/>
        <w:tblLook w:val="04A0" w:firstRow="1" w:lastRow="0" w:firstColumn="1" w:lastColumn="0" w:noHBand="0" w:noVBand="1"/>
      </w:tblPr>
      <w:tblGrid>
        <w:gridCol w:w="2329"/>
        <w:gridCol w:w="2318"/>
        <w:gridCol w:w="2319"/>
        <w:gridCol w:w="2322"/>
      </w:tblGrid>
      <w:tr w:rsidR="00ED5E16" w:rsidRPr="00AE38CA" w14:paraId="421E5CDB" w14:textId="77777777" w:rsidTr="00ED5E16">
        <w:trPr>
          <w:cnfStyle w:val="100000000000" w:firstRow="1" w:lastRow="0" w:firstColumn="0" w:lastColumn="0" w:oddVBand="0" w:evenVBand="0" w:oddHBand="0" w:evenHBand="0" w:firstRowFirstColumn="0" w:firstRowLastColumn="0" w:lastRowFirstColumn="0" w:lastRowLastColumn="0"/>
        </w:trPr>
        <w:tc>
          <w:tcPr>
            <w:tcW w:w="2359" w:type="dxa"/>
          </w:tcPr>
          <w:p w14:paraId="038045C3" w14:textId="77777777" w:rsidR="00ED5E16" w:rsidRPr="00AE38CA" w:rsidRDefault="00ED5E16" w:rsidP="002C2E72">
            <w:pPr>
              <w:spacing w:before="60" w:after="160" w:line="259" w:lineRule="auto"/>
              <w:jc w:val="left"/>
              <w:rPr>
                <w:rFonts w:cs="Calibri"/>
                <w:sz w:val="18"/>
                <w:szCs w:val="19"/>
              </w:rPr>
            </w:pPr>
          </w:p>
        </w:tc>
        <w:tc>
          <w:tcPr>
            <w:tcW w:w="2359" w:type="dxa"/>
          </w:tcPr>
          <w:p w14:paraId="6B010BB3" w14:textId="47B79BF3" w:rsidR="00ED5E16" w:rsidRPr="00AE38CA" w:rsidRDefault="00CA0BD2" w:rsidP="002C2E72">
            <w:pPr>
              <w:spacing w:before="60" w:after="160" w:line="259" w:lineRule="auto"/>
              <w:jc w:val="left"/>
              <w:rPr>
                <w:rFonts w:cs="Calibri"/>
                <w:sz w:val="18"/>
                <w:szCs w:val="19"/>
              </w:rPr>
            </w:pPr>
            <w:r w:rsidRPr="00AE38CA">
              <w:rPr>
                <w:rFonts w:cs="Calibri"/>
                <w:sz w:val="18"/>
                <w:szCs w:val="19"/>
              </w:rPr>
              <w:t>2015</w:t>
            </w:r>
          </w:p>
        </w:tc>
        <w:tc>
          <w:tcPr>
            <w:tcW w:w="2360" w:type="dxa"/>
          </w:tcPr>
          <w:p w14:paraId="222AC545" w14:textId="7999C065" w:rsidR="00ED5E16" w:rsidRPr="00AE38CA" w:rsidRDefault="00E57BF2" w:rsidP="002C2E72">
            <w:pPr>
              <w:spacing w:before="60" w:after="160" w:line="259" w:lineRule="auto"/>
              <w:jc w:val="left"/>
              <w:rPr>
                <w:rFonts w:cs="Calibri"/>
                <w:sz w:val="18"/>
                <w:szCs w:val="19"/>
              </w:rPr>
            </w:pPr>
            <w:r w:rsidRPr="00AE38CA">
              <w:rPr>
                <w:rFonts w:cs="Calibri"/>
                <w:sz w:val="18"/>
                <w:szCs w:val="19"/>
              </w:rPr>
              <w:t>2016</w:t>
            </w:r>
          </w:p>
        </w:tc>
        <w:tc>
          <w:tcPr>
            <w:tcW w:w="2360" w:type="dxa"/>
          </w:tcPr>
          <w:p w14:paraId="5DDEA9A1" w14:textId="75F58CF5" w:rsidR="00ED5E16" w:rsidRPr="00AE38CA" w:rsidRDefault="00E57BF2" w:rsidP="002C2E72">
            <w:pPr>
              <w:spacing w:before="60" w:after="160" w:line="259" w:lineRule="auto"/>
              <w:jc w:val="left"/>
              <w:rPr>
                <w:rFonts w:cs="Calibri"/>
                <w:sz w:val="18"/>
                <w:szCs w:val="19"/>
              </w:rPr>
            </w:pPr>
            <w:r w:rsidRPr="00AE38CA">
              <w:rPr>
                <w:rFonts w:cs="Calibri"/>
                <w:sz w:val="18"/>
                <w:szCs w:val="19"/>
              </w:rPr>
              <w:t>2017</w:t>
            </w:r>
            <w:r w:rsidR="00450732" w:rsidRPr="00AE38CA">
              <w:rPr>
                <w:rFonts w:cs="Calibri"/>
                <w:sz w:val="18"/>
                <w:szCs w:val="19"/>
              </w:rPr>
              <w:t>*</w:t>
            </w:r>
          </w:p>
        </w:tc>
      </w:tr>
      <w:tr w:rsidR="00ED5E16" w:rsidRPr="00AE38CA" w14:paraId="2B654602" w14:textId="77777777" w:rsidTr="00ED5E16">
        <w:tc>
          <w:tcPr>
            <w:tcW w:w="2359" w:type="dxa"/>
          </w:tcPr>
          <w:p w14:paraId="21DD0F75" w14:textId="44F140DE" w:rsidR="00ED5E16" w:rsidRPr="00AE38CA" w:rsidRDefault="00CA0BD2" w:rsidP="002C2E72">
            <w:pPr>
              <w:spacing w:before="60" w:after="160" w:line="259" w:lineRule="auto"/>
              <w:jc w:val="left"/>
              <w:rPr>
                <w:rFonts w:cs="Calibri"/>
                <w:sz w:val="18"/>
                <w:szCs w:val="19"/>
              </w:rPr>
            </w:pPr>
            <w:proofErr w:type="spellStart"/>
            <w:r w:rsidRPr="00AE38CA">
              <w:rPr>
                <w:rFonts w:cs="Calibri"/>
                <w:sz w:val="18"/>
                <w:szCs w:val="19"/>
              </w:rPr>
              <w:t>Fostercare</w:t>
            </w:r>
            <w:proofErr w:type="spellEnd"/>
          </w:p>
        </w:tc>
        <w:tc>
          <w:tcPr>
            <w:tcW w:w="2359" w:type="dxa"/>
          </w:tcPr>
          <w:p w14:paraId="38A6C370" w14:textId="6E5497CE" w:rsidR="00ED5E16" w:rsidRPr="00AE38CA" w:rsidRDefault="00E57BF2" w:rsidP="002C2E72">
            <w:pPr>
              <w:spacing w:before="60" w:after="160" w:line="259" w:lineRule="auto"/>
              <w:jc w:val="left"/>
              <w:rPr>
                <w:rFonts w:cs="Calibri"/>
                <w:sz w:val="18"/>
                <w:szCs w:val="19"/>
              </w:rPr>
            </w:pPr>
            <w:r w:rsidRPr="00AE38CA">
              <w:rPr>
                <w:rFonts w:cs="Calibri"/>
                <w:sz w:val="18"/>
                <w:szCs w:val="19"/>
              </w:rPr>
              <w:t>21,9</w:t>
            </w:r>
          </w:p>
        </w:tc>
        <w:tc>
          <w:tcPr>
            <w:tcW w:w="2360" w:type="dxa"/>
          </w:tcPr>
          <w:p w14:paraId="70A4618C" w14:textId="3AD0E3D6" w:rsidR="00ED5E16" w:rsidRPr="00AE38CA" w:rsidRDefault="00E57BF2" w:rsidP="002C2E72">
            <w:pPr>
              <w:spacing w:before="60" w:after="160" w:line="259" w:lineRule="auto"/>
              <w:jc w:val="left"/>
              <w:rPr>
                <w:rFonts w:cs="Calibri"/>
                <w:sz w:val="18"/>
                <w:szCs w:val="19"/>
              </w:rPr>
            </w:pPr>
            <w:r w:rsidRPr="00AE38CA">
              <w:rPr>
                <w:rFonts w:cs="Calibri"/>
                <w:sz w:val="18"/>
                <w:szCs w:val="19"/>
              </w:rPr>
              <w:t>21,4</w:t>
            </w:r>
          </w:p>
        </w:tc>
        <w:tc>
          <w:tcPr>
            <w:tcW w:w="2360" w:type="dxa"/>
          </w:tcPr>
          <w:p w14:paraId="6D3F2B19" w14:textId="2BEC48CB" w:rsidR="00ED5E16" w:rsidRPr="00AE38CA" w:rsidRDefault="00E57BF2" w:rsidP="002C2E72">
            <w:pPr>
              <w:spacing w:before="60" w:after="160" w:line="259" w:lineRule="auto"/>
              <w:jc w:val="left"/>
              <w:rPr>
                <w:rFonts w:cs="Calibri"/>
                <w:sz w:val="18"/>
                <w:szCs w:val="19"/>
              </w:rPr>
            </w:pPr>
            <w:r w:rsidRPr="00AE38CA">
              <w:rPr>
                <w:rFonts w:cs="Calibri"/>
                <w:sz w:val="18"/>
                <w:szCs w:val="19"/>
              </w:rPr>
              <w:t>21,2</w:t>
            </w:r>
          </w:p>
        </w:tc>
      </w:tr>
      <w:tr w:rsidR="00ED5E16" w:rsidRPr="00AE38CA" w14:paraId="7F46E423" w14:textId="77777777" w:rsidTr="00ED5E16">
        <w:tc>
          <w:tcPr>
            <w:tcW w:w="2359" w:type="dxa"/>
          </w:tcPr>
          <w:p w14:paraId="673B922A" w14:textId="520DEF95" w:rsidR="00ED5E16" w:rsidRPr="00AE38CA" w:rsidRDefault="00001233" w:rsidP="002C2E72">
            <w:pPr>
              <w:spacing w:before="60" w:after="160" w:line="259" w:lineRule="auto"/>
              <w:jc w:val="left"/>
              <w:rPr>
                <w:rFonts w:cs="Calibri"/>
                <w:sz w:val="18"/>
                <w:szCs w:val="19"/>
              </w:rPr>
            </w:pPr>
            <w:r w:rsidRPr="00AE38CA">
              <w:rPr>
                <w:rFonts w:cs="Calibri"/>
                <w:sz w:val="18"/>
                <w:szCs w:val="19"/>
              </w:rPr>
              <w:t>Family-oriented care (</w:t>
            </w:r>
            <w:r w:rsidR="00EB33D6" w:rsidRPr="00AE38CA">
              <w:rPr>
                <w:rFonts w:cs="Calibri"/>
                <w:sz w:val="18"/>
                <w:szCs w:val="19"/>
              </w:rPr>
              <w:t>e.g. group home)</w:t>
            </w:r>
          </w:p>
        </w:tc>
        <w:tc>
          <w:tcPr>
            <w:tcW w:w="2359" w:type="dxa"/>
          </w:tcPr>
          <w:p w14:paraId="7363547C" w14:textId="77A24258" w:rsidR="00ED5E16" w:rsidRPr="00AE38CA" w:rsidRDefault="00E57BF2" w:rsidP="002C2E72">
            <w:pPr>
              <w:spacing w:before="60" w:after="160" w:line="259" w:lineRule="auto"/>
              <w:jc w:val="left"/>
              <w:rPr>
                <w:rFonts w:cs="Calibri"/>
                <w:sz w:val="18"/>
                <w:szCs w:val="19"/>
              </w:rPr>
            </w:pPr>
            <w:r w:rsidRPr="00AE38CA">
              <w:rPr>
                <w:rFonts w:cs="Calibri"/>
                <w:sz w:val="18"/>
                <w:szCs w:val="19"/>
              </w:rPr>
              <w:t>5,3</w:t>
            </w:r>
          </w:p>
        </w:tc>
        <w:tc>
          <w:tcPr>
            <w:tcW w:w="2360" w:type="dxa"/>
          </w:tcPr>
          <w:p w14:paraId="44AD0338" w14:textId="5FBF408C" w:rsidR="00ED5E16" w:rsidRPr="00AE38CA" w:rsidRDefault="00E57BF2" w:rsidP="002C2E72">
            <w:pPr>
              <w:spacing w:before="60" w:after="160" w:line="259" w:lineRule="auto"/>
              <w:jc w:val="left"/>
              <w:rPr>
                <w:rFonts w:cs="Calibri"/>
                <w:sz w:val="18"/>
                <w:szCs w:val="19"/>
              </w:rPr>
            </w:pPr>
            <w:r w:rsidRPr="00AE38CA">
              <w:rPr>
                <w:rFonts w:cs="Calibri"/>
                <w:sz w:val="18"/>
                <w:szCs w:val="19"/>
              </w:rPr>
              <w:t>5,1</w:t>
            </w:r>
          </w:p>
        </w:tc>
        <w:tc>
          <w:tcPr>
            <w:tcW w:w="2360" w:type="dxa"/>
          </w:tcPr>
          <w:p w14:paraId="3C616405" w14:textId="1EFE9DDC" w:rsidR="00ED5E16" w:rsidRPr="00AE38CA" w:rsidRDefault="00E57BF2" w:rsidP="002C2E72">
            <w:pPr>
              <w:spacing w:before="60" w:after="160" w:line="259" w:lineRule="auto"/>
              <w:jc w:val="left"/>
              <w:rPr>
                <w:rFonts w:cs="Calibri"/>
                <w:sz w:val="18"/>
                <w:szCs w:val="19"/>
              </w:rPr>
            </w:pPr>
            <w:r w:rsidRPr="00AE38CA">
              <w:rPr>
                <w:rFonts w:cs="Calibri"/>
                <w:sz w:val="18"/>
                <w:szCs w:val="19"/>
              </w:rPr>
              <w:t>4,5</w:t>
            </w:r>
          </w:p>
        </w:tc>
      </w:tr>
      <w:tr w:rsidR="00ED5E16" w:rsidRPr="00AE38CA" w14:paraId="114E78A0" w14:textId="77777777" w:rsidTr="00ED5E16">
        <w:tc>
          <w:tcPr>
            <w:tcW w:w="2359" w:type="dxa"/>
          </w:tcPr>
          <w:p w14:paraId="5DAB0820" w14:textId="4DF0822B" w:rsidR="00ED5E16" w:rsidRPr="00AE38CA" w:rsidRDefault="00742D6A" w:rsidP="002C2E72">
            <w:pPr>
              <w:spacing w:before="60" w:after="160" w:line="259" w:lineRule="auto"/>
              <w:jc w:val="left"/>
              <w:rPr>
                <w:rFonts w:cs="Calibri"/>
                <w:sz w:val="18"/>
                <w:szCs w:val="19"/>
              </w:rPr>
            </w:pPr>
            <w:r w:rsidRPr="00AE38CA">
              <w:rPr>
                <w:rFonts w:cs="Calibri"/>
                <w:sz w:val="18"/>
                <w:szCs w:val="19"/>
              </w:rPr>
              <w:t xml:space="preserve">Secure </w:t>
            </w:r>
            <w:r w:rsidR="00C978CD" w:rsidRPr="00AE38CA">
              <w:rPr>
                <w:rFonts w:cs="Calibri"/>
                <w:sz w:val="18"/>
                <w:szCs w:val="19"/>
              </w:rPr>
              <w:t>residential youth care</w:t>
            </w:r>
          </w:p>
        </w:tc>
        <w:tc>
          <w:tcPr>
            <w:tcW w:w="2359" w:type="dxa"/>
          </w:tcPr>
          <w:p w14:paraId="0563A5BF" w14:textId="53C31100" w:rsidR="00ED5E16" w:rsidRPr="00AE38CA" w:rsidRDefault="00E57BF2" w:rsidP="002C2E72">
            <w:pPr>
              <w:spacing w:before="60" w:after="160" w:line="259" w:lineRule="auto"/>
              <w:jc w:val="left"/>
              <w:rPr>
                <w:rFonts w:cs="Calibri"/>
                <w:sz w:val="18"/>
                <w:szCs w:val="19"/>
              </w:rPr>
            </w:pPr>
            <w:r w:rsidRPr="00AE38CA">
              <w:rPr>
                <w:rFonts w:cs="Calibri"/>
                <w:sz w:val="18"/>
                <w:szCs w:val="19"/>
              </w:rPr>
              <w:t>2,7</w:t>
            </w:r>
          </w:p>
        </w:tc>
        <w:tc>
          <w:tcPr>
            <w:tcW w:w="2360" w:type="dxa"/>
          </w:tcPr>
          <w:p w14:paraId="5ADA3600" w14:textId="3E4EC943" w:rsidR="00ED5E16" w:rsidRPr="00AE38CA" w:rsidRDefault="00E57BF2" w:rsidP="002C2E72">
            <w:pPr>
              <w:spacing w:before="60" w:after="160" w:line="259" w:lineRule="auto"/>
              <w:jc w:val="left"/>
              <w:rPr>
                <w:rFonts w:cs="Calibri"/>
                <w:sz w:val="18"/>
                <w:szCs w:val="19"/>
              </w:rPr>
            </w:pPr>
            <w:r w:rsidRPr="00AE38CA">
              <w:rPr>
                <w:rFonts w:cs="Calibri"/>
                <w:sz w:val="18"/>
                <w:szCs w:val="19"/>
              </w:rPr>
              <w:t>2,5</w:t>
            </w:r>
          </w:p>
        </w:tc>
        <w:tc>
          <w:tcPr>
            <w:tcW w:w="2360" w:type="dxa"/>
          </w:tcPr>
          <w:p w14:paraId="00567EE3" w14:textId="62FD2302" w:rsidR="00ED5E16" w:rsidRPr="00AE38CA" w:rsidRDefault="00E57BF2" w:rsidP="002C2E72">
            <w:pPr>
              <w:spacing w:before="60" w:after="160" w:line="259" w:lineRule="auto"/>
              <w:jc w:val="left"/>
              <w:rPr>
                <w:rFonts w:cs="Calibri"/>
                <w:sz w:val="18"/>
                <w:szCs w:val="19"/>
              </w:rPr>
            </w:pPr>
            <w:r w:rsidRPr="00AE38CA">
              <w:rPr>
                <w:rFonts w:cs="Calibri"/>
                <w:sz w:val="18"/>
                <w:szCs w:val="19"/>
              </w:rPr>
              <w:t>2,5</w:t>
            </w:r>
          </w:p>
        </w:tc>
      </w:tr>
      <w:tr w:rsidR="00ED5E16" w:rsidRPr="00AE38CA" w14:paraId="1661A57B" w14:textId="77777777" w:rsidTr="00ED5E16">
        <w:tc>
          <w:tcPr>
            <w:tcW w:w="2359" w:type="dxa"/>
          </w:tcPr>
          <w:p w14:paraId="0A764169" w14:textId="66651618" w:rsidR="00ED5E16" w:rsidRPr="00AE38CA" w:rsidRDefault="00D011C7" w:rsidP="002C2E72">
            <w:pPr>
              <w:spacing w:before="60" w:after="160" w:line="259" w:lineRule="auto"/>
              <w:jc w:val="left"/>
              <w:rPr>
                <w:rFonts w:cs="Calibri"/>
                <w:sz w:val="18"/>
                <w:szCs w:val="19"/>
              </w:rPr>
            </w:pPr>
            <w:r w:rsidRPr="00AE38CA">
              <w:rPr>
                <w:rFonts w:cs="Calibri"/>
                <w:sz w:val="18"/>
                <w:szCs w:val="19"/>
              </w:rPr>
              <w:t>Other</w:t>
            </w:r>
          </w:p>
        </w:tc>
        <w:tc>
          <w:tcPr>
            <w:tcW w:w="2359" w:type="dxa"/>
          </w:tcPr>
          <w:p w14:paraId="75B80C39" w14:textId="6CF93C65" w:rsidR="00ED5E16" w:rsidRPr="00AE38CA" w:rsidRDefault="00E57BF2" w:rsidP="002C2E72">
            <w:pPr>
              <w:spacing w:before="60" w:after="160" w:line="259" w:lineRule="auto"/>
              <w:jc w:val="left"/>
              <w:rPr>
                <w:rFonts w:cs="Calibri"/>
                <w:sz w:val="18"/>
                <w:szCs w:val="19"/>
              </w:rPr>
            </w:pPr>
            <w:r w:rsidRPr="00AE38CA">
              <w:rPr>
                <w:rFonts w:cs="Calibri"/>
                <w:sz w:val="18"/>
                <w:szCs w:val="19"/>
              </w:rPr>
              <w:t>21,9</w:t>
            </w:r>
          </w:p>
        </w:tc>
        <w:tc>
          <w:tcPr>
            <w:tcW w:w="2360" w:type="dxa"/>
          </w:tcPr>
          <w:p w14:paraId="30B9EA1D" w14:textId="63DB7D84" w:rsidR="00ED5E16" w:rsidRPr="00AE38CA" w:rsidRDefault="00E57BF2" w:rsidP="002C2E72">
            <w:pPr>
              <w:spacing w:before="60" w:after="160" w:line="259" w:lineRule="auto"/>
              <w:jc w:val="left"/>
              <w:rPr>
                <w:rFonts w:cs="Calibri"/>
                <w:sz w:val="18"/>
                <w:szCs w:val="19"/>
              </w:rPr>
            </w:pPr>
            <w:r w:rsidRPr="00AE38CA">
              <w:rPr>
                <w:rFonts w:cs="Calibri"/>
                <w:sz w:val="18"/>
                <w:szCs w:val="19"/>
              </w:rPr>
              <w:t>19,9</w:t>
            </w:r>
          </w:p>
        </w:tc>
        <w:tc>
          <w:tcPr>
            <w:tcW w:w="2360" w:type="dxa"/>
          </w:tcPr>
          <w:p w14:paraId="67572CE1" w14:textId="203FD444" w:rsidR="00ED5E16" w:rsidRPr="00AE38CA" w:rsidRDefault="00E57BF2" w:rsidP="002C2E72">
            <w:pPr>
              <w:spacing w:before="60" w:after="160" w:line="259" w:lineRule="auto"/>
              <w:jc w:val="left"/>
              <w:rPr>
                <w:rFonts w:cs="Calibri"/>
                <w:sz w:val="18"/>
                <w:szCs w:val="19"/>
              </w:rPr>
            </w:pPr>
            <w:r w:rsidRPr="00AE38CA">
              <w:rPr>
                <w:rFonts w:cs="Calibri"/>
                <w:sz w:val="18"/>
                <w:szCs w:val="19"/>
              </w:rPr>
              <w:t>16,7</w:t>
            </w:r>
          </w:p>
        </w:tc>
      </w:tr>
    </w:tbl>
    <w:p w14:paraId="20E972D3" w14:textId="47A6BC51" w:rsidR="00E90619" w:rsidRPr="00AE38CA" w:rsidRDefault="00E17948" w:rsidP="002C2E72">
      <w:pPr>
        <w:spacing w:before="60" w:after="160" w:line="259" w:lineRule="auto"/>
        <w:jc w:val="left"/>
        <w:rPr>
          <w:rFonts w:ascii="Verdana" w:hAnsi="Verdana" w:cs="Calibri"/>
          <w:sz w:val="18"/>
          <w:szCs w:val="19"/>
        </w:rPr>
      </w:pPr>
      <w:r w:rsidRPr="00AE38CA">
        <w:rPr>
          <w:rFonts w:ascii="Verdana" w:hAnsi="Verdana" w:cs="Calibri"/>
          <w:sz w:val="18"/>
          <w:szCs w:val="19"/>
        </w:rPr>
        <w:t>Children</w:t>
      </w:r>
      <w:r w:rsidR="005A7326" w:rsidRPr="00AE38CA">
        <w:rPr>
          <w:rFonts w:ascii="Verdana" w:hAnsi="Verdana" w:cs="Calibri"/>
          <w:sz w:val="18"/>
          <w:szCs w:val="19"/>
        </w:rPr>
        <w:t xml:space="preserve"> with multiple forms of</w:t>
      </w:r>
      <w:r w:rsidR="00A44F07" w:rsidRPr="00AE38CA">
        <w:rPr>
          <w:rFonts w:ascii="Verdana" w:hAnsi="Verdana" w:cs="Calibri"/>
          <w:sz w:val="18"/>
          <w:szCs w:val="19"/>
        </w:rPr>
        <w:t xml:space="preserve"> youth care</w:t>
      </w:r>
      <w:r w:rsidR="005A7326" w:rsidRPr="00AE38CA">
        <w:rPr>
          <w:rFonts w:ascii="Verdana" w:hAnsi="Verdana" w:cs="Calibri"/>
          <w:sz w:val="18"/>
          <w:szCs w:val="19"/>
        </w:rPr>
        <w:t xml:space="preserve"> appear several times in the tab</w:t>
      </w:r>
      <w:r w:rsidR="00267568" w:rsidRPr="00AE38CA">
        <w:rPr>
          <w:rFonts w:ascii="Verdana" w:hAnsi="Verdana" w:cs="Calibri"/>
          <w:sz w:val="18"/>
          <w:szCs w:val="19"/>
        </w:rPr>
        <w:t>le.</w:t>
      </w:r>
    </w:p>
    <w:p w14:paraId="6F49F4BC" w14:textId="133DC9BA" w:rsidR="00A62345" w:rsidRPr="00AE38CA" w:rsidRDefault="00450732" w:rsidP="002C2E72">
      <w:pPr>
        <w:spacing w:before="60" w:after="160" w:line="259" w:lineRule="auto"/>
        <w:jc w:val="left"/>
        <w:rPr>
          <w:rFonts w:ascii="Verdana" w:hAnsi="Verdana" w:cs="Calibri"/>
          <w:sz w:val="18"/>
          <w:szCs w:val="19"/>
        </w:rPr>
      </w:pPr>
      <w:r w:rsidRPr="00AE38CA">
        <w:rPr>
          <w:rFonts w:ascii="Verdana" w:hAnsi="Verdana" w:cs="Calibri"/>
          <w:sz w:val="18"/>
          <w:szCs w:val="19"/>
        </w:rPr>
        <w:t xml:space="preserve">* </w:t>
      </w:r>
      <w:r w:rsidR="0033221D" w:rsidRPr="00AE38CA">
        <w:rPr>
          <w:rFonts w:ascii="Verdana" w:hAnsi="Verdana" w:cs="Calibri"/>
          <w:sz w:val="18"/>
          <w:szCs w:val="19"/>
        </w:rPr>
        <w:t>provisional</w:t>
      </w:r>
    </w:p>
    <w:p w14:paraId="00719DB6" w14:textId="6DA492B9" w:rsidR="005A40FD" w:rsidRPr="00AE38CA" w:rsidRDefault="005A40FD" w:rsidP="004771A1">
      <w:pPr>
        <w:pStyle w:val="Kop2"/>
      </w:pPr>
      <w:bookmarkStart w:id="5" w:name="_Toc532388662"/>
      <w:r w:rsidRPr="00AE38CA">
        <w:t>Overall situation of children of recent migrants and refugees</w:t>
      </w:r>
      <w:bookmarkEnd w:id="5"/>
    </w:p>
    <w:p w14:paraId="533D9754" w14:textId="1BF4320D" w:rsidR="00A8557D" w:rsidRPr="00AE38CA" w:rsidRDefault="00A8557D" w:rsidP="00B853BF">
      <w:pPr>
        <w:pStyle w:val="Plattetekst"/>
        <w:rPr>
          <w:lang w:bidi="en-GB"/>
        </w:rPr>
      </w:pPr>
      <w:r w:rsidRPr="00AE38CA">
        <w:rPr>
          <w:lang w:bidi="en-GB"/>
        </w:rPr>
        <w:t>Figure 5 shows the share of children aged below 18 with at least one parent born outside the EU</w:t>
      </w:r>
      <w:r w:rsidR="00D46E06" w:rsidRPr="00AE38CA">
        <w:rPr>
          <w:lang w:bidi="en-GB"/>
        </w:rPr>
        <w:t xml:space="preserve">. </w:t>
      </w:r>
      <w:r w:rsidR="00F62886" w:rsidRPr="00AE38CA">
        <w:rPr>
          <w:lang w:bidi="en-GB"/>
        </w:rPr>
        <w:t>T</w:t>
      </w:r>
      <w:r w:rsidR="00E956C2" w:rsidRPr="00AE38CA">
        <w:rPr>
          <w:lang w:bidi="en-GB"/>
        </w:rPr>
        <w:t xml:space="preserve">he </w:t>
      </w:r>
      <w:r w:rsidR="002434D2" w:rsidRPr="00AE38CA">
        <w:rPr>
          <w:lang w:bidi="en-GB"/>
        </w:rPr>
        <w:t xml:space="preserve">share </w:t>
      </w:r>
      <w:r w:rsidRPr="00AE38CA">
        <w:rPr>
          <w:lang w:bidi="en-GB"/>
        </w:rPr>
        <w:t>varies considerably across Member States</w:t>
      </w:r>
      <w:r w:rsidR="00462B0F" w:rsidRPr="00AE38CA">
        <w:rPr>
          <w:lang w:bidi="en-GB"/>
        </w:rPr>
        <w:t xml:space="preserve">. The </w:t>
      </w:r>
      <w:r w:rsidR="002434D2" w:rsidRPr="00AE38CA">
        <w:rPr>
          <w:lang w:bidi="en-GB"/>
        </w:rPr>
        <w:t xml:space="preserve">Netherlands </w:t>
      </w:r>
      <w:r w:rsidR="00462B0F" w:rsidRPr="00AE38CA">
        <w:rPr>
          <w:lang w:bidi="en-GB"/>
        </w:rPr>
        <w:t>scores rela</w:t>
      </w:r>
      <w:r w:rsidR="002169CA" w:rsidRPr="00AE38CA">
        <w:rPr>
          <w:lang w:bidi="en-GB"/>
        </w:rPr>
        <w:t>tively hi</w:t>
      </w:r>
      <w:r w:rsidR="00495BB1" w:rsidRPr="00AE38CA">
        <w:rPr>
          <w:lang w:bidi="en-GB"/>
        </w:rPr>
        <w:t>g</w:t>
      </w:r>
      <w:r w:rsidR="002169CA" w:rsidRPr="00AE38CA">
        <w:rPr>
          <w:lang w:bidi="en-GB"/>
        </w:rPr>
        <w:t>h</w:t>
      </w:r>
      <w:r w:rsidR="00495BB1" w:rsidRPr="00AE38CA">
        <w:rPr>
          <w:lang w:bidi="en-GB"/>
        </w:rPr>
        <w:t xml:space="preserve"> (EU-SILC: </w:t>
      </w:r>
      <w:r w:rsidR="003328AB" w:rsidRPr="00AE38CA">
        <w:rPr>
          <w:lang w:bidi="en-GB"/>
        </w:rPr>
        <w:t xml:space="preserve">16%; </w:t>
      </w:r>
      <w:r w:rsidR="002A42B6" w:rsidRPr="00AE38CA">
        <w:rPr>
          <w:lang w:bidi="en-GB"/>
        </w:rPr>
        <w:t>LFS: 19,6%).</w:t>
      </w:r>
    </w:p>
    <w:p w14:paraId="65E36FF7" w14:textId="77777777" w:rsidR="00B6375A" w:rsidRPr="00AE38CA" w:rsidRDefault="00B6375A" w:rsidP="00B853BF">
      <w:pPr>
        <w:pStyle w:val="Plattetekst"/>
        <w:rPr>
          <w:lang w:bidi="en-GB"/>
        </w:rPr>
      </w:pPr>
    </w:p>
    <w:p w14:paraId="43FE9B6D" w14:textId="27092A1D" w:rsidR="002C2E72" w:rsidRPr="00AE38CA" w:rsidRDefault="007B6F2E" w:rsidP="00E05DC1">
      <w:pPr>
        <w:pStyle w:val="Plattetekst"/>
        <w:rPr>
          <w:b/>
          <w:i/>
          <w:color w:val="263673"/>
          <w:sz w:val="19"/>
          <w:szCs w:val="22"/>
          <w:lang w:bidi="en-GB"/>
        </w:rPr>
      </w:pPr>
      <w:r w:rsidRPr="00AE38CA">
        <w:rPr>
          <w:lang w:bidi="en-GB"/>
        </w:rPr>
        <w:br w:type="page"/>
      </w:r>
      <w:r w:rsidR="002C2E72" w:rsidRPr="00AE38CA">
        <w:rPr>
          <w:b/>
          <w:lang w:bidi="en-GB"/>
        </w:rPr>
        <w:lastRenderedPageBreak/>
        <w:t xml:space="preserve">Figure </w:t>
      </w:r>
      <w:r w:rsidR="00A8557D" w:rsidRPr="00AE38CA">
        <w:rPr>
          <w:b/>
          <w:lang w:bidi="en-GB"/>
        </w:rPr>
        <w:t>5</w:t>
      </w:r>
      <w:r w:rsidR="002C2E72" w:rsidRPr="00AE38CA">
        <w:rPr>
          <w:b/>
          <w:lang w:bidi="en-GB"/>
        </w:rPr>
        <w:t>: Share of children aged below 18 with at least one parent born outside the EU, 2017, %</w:t>
      </w:r>
    </w:p>
    <w:p w14:paraId="199D8CF0" w14:textId="6BB34671" w:rsidR="002C2E72" w:rsidRPr="00AE38CA" w:rsidRDefault="004268D4" w:rsidP="00E05DC1">
      <w:pPr>
        <w:pStyle w:val="Plattetekst"/>
        <w:rPr>
          <w:rFonts w:eastAsia="Calibri"/>
          <w:szCs w:val="22"/>
          <w:lang w:bidi="en-GB"/>
        </w:rPr>
      </w:pPr>
      <w:r w:rsidRPr="00AE38CA">
        <w:rPr>
          <w:rFonts w:eastAsia="Calibri"/>
          <w:noProof/>
          <w:lang w:val="en-IE" w:eastAsia="en-IE"/>
        </w:rPr>
        <w:drawing>
          <wp:inline distT="0" distB="0" distL="0" distR="0" wp14:anchorId="1C11919A" wp14:editId="7051E267">
            <wp:extent cx="5638800" cy="3124200"/>
            <wp:effectExtent l="0" t="0" r="0" b="0"/>
            <wp:docPr id="13" name="Afbeelding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C34975F" w14:textId="6852D98B" w:rsidR="002C2E72" w:rsidRPr="00AE38CA" w:rsidRDefault="002C2E72" w:rsidP="002C2E72">
      <w:pPr>
        <w:spacing w:before="60" w:after="0" w:line="259" w:lineRule="auto"/>
        <w:jc w:val="left"/>
        <w:rPr>
          <w:rFonts w:ascii="Verdana" w:hAnsi="Verdana" w:cs="Calibri"/>
          <w:sz w:val="18"/>
          <w:szCs w:val="19"/>
        </w:rPr>
      </w:pPr>
      <w:r w:rsidRPr="00AE38CA">
        <w:rPr>
          <w:rFonts w:ascii="Verdana" w:hAnsi="Verdana" w:cs="Calibri"/>
          <w:sz w:val="18"/>
          <w:szCs w:val="19"/>
        </w:rPr>
        <w:t xml:space="preserve">Note: In the LFS, the focus is on </w:t>
      </w:r>
      <w:r w:rsidR="002E6C82" w:rsidRPr="00AE38CA">
        <w:rPr>
          <w:rFonts w:ascii="Verdana" w:hAnsi="Verdana" w:cs="Calibri"/>
          <w:sz w:val="18"/>
          <w:szCs w:val="19"/>
        </w:rPr>
        <w:t>‘</w:t>
      </w:r>
      <w:r w:rsidRPr="00AE38CA">
        <w:rPr>
          <w:rFonts w:ascii="Verdana" w:hAnsi="Verdana" w:cs="Calibri"/>
          <w:sz w:val="18"/>
          <w:szCs w:val="19"/>
        </w:rPr>
        <w:t>dependent children</w:t>
      </w:r>
      <w:r w:rsidR="002E6C82" w:rsidRPr="00AE38CA">
        <w:rPr>
          <w:rFonts w:ascii="Verdana" w:hAnsi="Verdana" w:cs="Calibri"/>
          <w:sz w:val="18"/>
          <w:szCs w:val="19"/>
        </w:rPr>
        <w:t>’</w:t>
      </w:r>
      <w:r w:rsidRPr="00AE38CA">
        <w:rPr>
          <w:rFonts w:ascii="Verdana" w:hAnsi="Verdana" w:cs="Calibri"/>
          <w:sz w:val="18"/>
          <w:szCs w:val="19"/>
        </w:rPr>
        <w:t>, i.e. children below the age of 15 plus children aged 16-24 who are inactive and live with at least one of their parents.</w:t>
      </w:r>
    </w:p>
    <w:p w14:paraId="189FFC98" w14:textId="32558783" w:rsidR="002C2E72" w:rsidRPr="00AE38CA" w:rsidRDefault="002C2E72" w:rsidP="002C2E72">
      <w:pPr>
        <w:pStyle w:val="Plattetekst"/>
        <w:rPr>
          <w:rFonts w:cs="Calibri"/>
          <w:sz w:val="18"/>
          <w:szCs w:val="19"/>
        </w:rPr>
      </w:pPr>
      <w:r w:rsidRPr="00AE38CA">
        <w:rPr>
          <w:rFonts w:cs="Calibri"/>
          <w:sz w:val="18"/>
          <w:szCs w:val="19"/>
        </w:rPr>
        <w:t>Source: EU-SILC (2017) and LFS (2017)</w:t>
      </w:r>
      <w:r w:rsidR="00005DD0" w:rsidRPr="00AE38CA">
        <w:rPr>
          <w:rFonts w:cs="Calibri"/>
          <w:sz w:val="18"/>
          <w:szCs w:val="19"/>
        </w:rPr>
        <w:t>, as published in FSCG Inception Report</w:t>
      </w:r>
      <w:r w:rsidR="00A40702" w:rsidRPr="00AE38CA">
        <w:rPr>
          <w:rFonts w:cs="Calibri"/>
          <w:sz w:val="18"/>
          <w:szCs w:val="19"/>
        </w:rPr>
        <w:t xml:space="preserve"> (2018)</w:t>
      </w:r>
      <w:r w:rsidRPr="00AE38CA">
        <w:rPr>
          <w:rFonts w:cs="Calibri"/>
          <w:sz w:val="18"/>
          <w:szCs w:val="19"/>
        </w:rPr>
        <w:t>. No data in EU-SILC (2017) for UK and IE</w:t>
      </w:r>
      <w:r w:rsidR="00C03616" w:rsidRPr="00AE38CA">
        <w:rPr>
          <w:rFonts w:cs="Calibri"/>
          <w:sz w:val="18"/>
          <w:szCs w:val="19"/>
        </w:rPr>
        <w:t xml:space="preserve"> </w:t>
      </w:r>
    </w:p>
    <w:p w14:paraId="4CAA07F8" w14:textId="77777777" w:rsidR="00260F31" w:rsidRPr="00AE38CA" w:rsidRDefault="00260F31" w:rsidP="00B853BF">
      <w:pPr>
        <w:pStyle w:val="Plattetekst"/>
        <w:rPr>
          <w:lang w:bidi="en-GB"/>
        </w:rPr>
      </w:pPr>
    </w:p>
    <w:p w14:paraId="32008A23" w14:textId="6143BA0C" w:rsidR="005A40FD" w:rsidRPr="00AE38CA" w:rsidRDefault="005A40FD" w:rsidP="004771A1">
      <w:pPr>
        <w:pStyle w:val="Kop2"/>
      </w:pPr>
      <w:bookmarkStart w:id="6" w:name="_Toc532388663"/>
      <w:r w:rsidRPr="00AE38CA">
        <w:t>Overall situation of children with disabilities</w:t>
      </w:r>
      <w:bookmarkEnd w:id="6"/>
    </w:p>
    <w:p w14:paraId="1636486A" w14:textId="7D10A797" w:rsidR="004D7352" w:rsidRPr="00AE38CA" w:rsidRDefault="00027C9E" w:rsidP="003E72A4">
      <w:pPr>
        <w:pStyle w:val="Plattetekst"/>
        <w:rPr>
          <w:lang w:bidi="en-GB"/>
        </w:rPr>
      </w:pPr>
      <w:r w:rsidRPr="00AE38CA">
        <w:rPr>
          <w:lang w:bidi="en-GB"/>
        </w:rPr>
        <w:t xml:space="preserve">Figure 6 shows </w:t>
      </w:r>
      <w:r w:rsidR="00B16298" w:rsidRPr="00AE38CA">
        <w:rPr>
          <w:lang w:bidi="en-GB"/>
        </w:rPr>
        <w:t>the proportion of children suffering from limitations in their daily activities in the various EU countries.</w:t>
      </w:r>
      <w:r w:rsidR="00FC33CE" w:rsidRPr="00AE38CA">
        <w:rPr>
          <w:lang w:bidi="en-GB"/>
        </w:rPr>
        <w:t xml:space="preserve"> </w:t>
      </w:r>
      <w:r w:rsidR="00CB4326" w:rsidRPr="00AE38CA">
        <w:rPr>
          <w:lang w:bidi="en-GB"/>
        </w:rPr>
        <w:t>I</w:t>
      </w:r>
      <w:r w:rsidR="00FA4770" w:rsidRPr="00AE38CA">
        <w:rPr>
          <w:lang w:bidi="en-GB"/>
        </w:rPr>
        <w:t xml:space="preserve">n </w:t>
      </w:r>
      <w:r w:rsidR="00CB4326" w:rsidRPr="00AE38CA">
        <w:rPr>
          <w:lang w:bidi="en-GB"/>
        </w:rPr>
        <w:t>t</w:t>
      </w:r>
      <w:r w:rsidR="002702EA" w:rsidRPr="00AE38CA">
        <w:rPr>
          <w:lang w:bidi="en-GB"/>
        </w:rPr>
        <w:t xml:space="preserve">he Netherlands </w:t>
      </w:r>
      <w:r w:rsidR="00ED30D9" w:rsidRPr="00AE38CA">
        <w:rPr>
          <w:lang w:bidi="en-GB"/>
        </w:rPr>
        <w:t xml:space="preserve">a (more or less) average share </w:t>
      </w:r>
      <w:r w:rsidR="00961549" w:rsidRPr="00AE38CA">
        <w:rPr>
          <w:lang w:bidi="en-GB"/>
        </w:rPr>
        <w:t xml:space="preserve">of children </w:t>
      </w:r>
      <w:r w:rsidR="00321577" w:rsidRPr="00AE38CA">
        <w:rPr>
          <w:lang w:bidi="en-GB"/>
        </w:rPr>
        <w:t xml:space="preserve">suffers from </w:t>
      </w:r>
      <w:r w:rsidR="004468F7" w:rsidRPr="00AE38CA">
        <w:rPr>
          <w:lang w:bidi="en-GB"/>
        </w:rPr>
        <w:t xml:space="preserve">severe </w:t>
      </w:r>
      <w:r w:rsidR="006D79C7" w:rsidRPr="00AE38CA">
        <w:rPr>
          <w:lang w:bidi="en-GB"/>
        </w:rPr>
        <w:t>limitations in daily activities</w:t>
      </w:r>
      <w:r w:rsidR="00A166B8" w:rsidRPr="00AE38CA">
        <w:rPr>
          <w:lang w:bidi="en-GB"/>
        </w:rPr>
        <w:t xml:space="preserve"> (</w:t>
      </w:r>
      <w:r w:rsidR="003572B1" w:rsidRPr="00AE38CA">
        <w:rPr>
          <w:lang w:bidi="en-GB"/>
        </w:rPr>
        <w:t>1</w:t>
      </w:r>
      <w:r w:rsidR="00A166B8" w:rsidRPr="00AE38CA">
        <w:rPr>
          <w:lang w:bidi="en-GB"/>
        </w:rPr>
        <w:t>%)</w:t>
      </w:r>
      <w:r w:rsidR="000B64E6" w:rsidRPr="00AE38CA">
        <w:rPr>
          <w:lang w:bidi="en-GB"/>
        </w:rPr>
        <w:t>;</w:t>
      </w:r>
      <w:r w:rsidR="00882474" w:rsidRPr="00AE38CA">
        <w:rPr>
          <w:lang w:bidi="en-GB"/>
        </w:rPr>
        <w:t xml:space="preserve"> a </w:t>
      </w:r>
      <w:r w:rsidR="00EE1ECB" w:rsidRPr="00AE38CA">
        <w:rPr>
          <w:lang w:bidi="en-GB"/>
        </w:rPr>
        <w:t xml:space="preserve">relatively </w:t>
      </w:r>
      <w:r w:rsidR="006F4AB3" w:rsidRPr="00AE38CA">
        <w:rPr>
          <w:lang w:bidi="en-GB"/>
        </w:rPr>
        <w:t xml:space="preserve">large share </w:t>
      </w:r>
      <w:r w:rsidR="003E72A4" w:rsidRPr="00AE38CA">
        <w:rPr>
          <w:lang w:bidi="en-GB"/>
        </w:rPr>
        <w:t xml:space="preserve">is </w:t>
      </w:r>
      <w:r w:rsidR="00EB21D6" w:rsidRPr="00AE38CA">
        <w:t xml:space="preserve">limited but not severely in daily activities </w:t>
      </w:r>
      <w:r w:rsidR="00721BC0" w:rsidRPr="00AE38CA">
        <w:rPr>
          <w:lang w:bidi="en-GB"/>
        </w:rPr>
        <w:t>(5%)</w:t>
      </w:r>
      <w:r w:rsidR="009A52A8" w:rsidRPr="00AE38CA">
        <w:rPr>
          <w:lang w:bidi="en-GB"/>
        </w:rPr>
        <w:t>.</w:t>
      </w:r>
    </w:p>
    <w:p w14:paraId="3F81C086" w14:textId="376AD46A" w:rsidR="00260F31" w:rsidRPr="00AE38CA" w:rsidRDefault="00260F31" w:rsidP="00027C9E">
      <w:pPr>
        <w:pStyle w:val="Plattetekst"/>
        <w:rPr>
          <w:rFonts w:cs="Arial"/>
          <w:b/>
          <w:i/>
          <w:color w:val="263673"/>
          <w:sz w:val="19"/>
          <w:szCs w:val="22"/>
          <w:u w:val="single"/>
          <w:lang w:bidi="en-GB"/>
        </w:rPr>
      </w:pPr>
      <w:r w:rsidRPr="00AE38CA">
        <w:rPr>
          <w:b/>
          <w:lang w:bidi="en-GB"/>
        </w:rPr>
        <w:t xml:space="preserve">Figure </w:t>
      </w:r>
      <w:r w:rsidR="00E83E6B" w:rsidRPr="00AE38CA">
        <w:rPr>
          <w:b/>
          <w:lang w:bidi="en-GB"/>
        </w:rPr>
        <w:t>6</w:t>
      </w:r>
      <w:r w:rsidRPr="00AE38CA">
        <w:rPr>
          <w:b/>
          <w:lang w:bidi="en-GB"/>
        </w:rPr>
        <w:t xml:space="preserve">: </w:t>
      </w:r>
      <w:r w:rsidR="002546D2" w:rsidRPr="00AE38CA">
        <w:rPr>
          <w:b/>
        </w:rPr>
        <w:t>Share of children severely limited or limited (but not severely) in daily activities</w:t>
      </w:r>
      <w:r w:rsidRPr="00AE38CA">
        <w:rPr>
          <w:b/>
          <w:lang w:bidi="en-GB"/>
        </w:rPr>
        <w:t xml:space="preserve"> during the past 6 months, Children 0-15 years old, EU countries, 2017, %</w:t>
      </w:r>
    </w:p>
    <w:p w14:paraId="6FC3B14A" w14:textId="1DCEB0C5" w:rsidR="00260F31" w:rsidRPr="00AE38CA" w:rsidRDefault="004268D4" w:rsidP="00260F31">
      <w:pPr>
        <w:spacing w:after="160" w:line="259" w:lineRule="auto"/>
        <w:rPr>
          <w:rFonts w:ascii="Verdana" w:eastAsia="Calibri" w:hAnsi="Verdana"/>
          <w:sz w:val="20"/>
          <w:szCs w:val="22"/>
        </w:rPr>
      </w:pPr>
      <w:r w:rsidRPr="00AE38CA">
        <w:rPr>
          <w:rFonts w:ascii="Verdana" w:eastAsia="Calibri" w:hAnsi="Verdana"/>
          <w:noProof/>
          <w:sz w:val="20"/>
          <w:szCs w:val="22"/>
          <w:lang w:val="en-IE" w:eastAsia="en-IE"/>
        </w:rPr>
        <w:drawing>
          <wp:inline distT="0" distB="0" distL="0" distR="0" wp14:anchorId="690B716C" wp14:editId="79AFE02A">
            <wp:extent cx="5713730" cy="2286000"/>
            <wp:effectExtent l="0" t="0" r="1270" b="0"/>
            <wp:docPr id="12" name="Afbeelding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6B7573" w:rsidRPr="00AE38CA">
        <w:t xml:space="preserve"> </w:t>
      </w:r>
    </w:p>
    <w:p w14:paraId="41755134" w14:textId="5CDFEE1C" w:rsidR="00260F31" w:rsidRPr="00AE38CA" w:rsidRDefault="00260F31" w:rsidP="00260F31">
      <w:pPr>
        <w:spacing w:before="60" w:after="160" w:line="259" w:lineRule="auto"/>
        <w:jc w:val="left"/>
        <w:rPr>
          <w:rFonts w:ascii="Verdana" w:hAnsi="Verdana" w:cs="Calibri"/>
          <w:sz w:val="18"/>
          <w:szCs w:val="19"/>
        </w:rPr>
      </w:pPr>
      <w:r w:rsidRPr="00AE38CA">
        <w:rPr>
          <w:rFonts w:ascii="Verdana" w:hAnsi="Verdana" w:cs="Calibri"/>
          <w:sz w:val="18"/>
          <w:szCs w:val="19"/>
        </w:rPr>
        <w:t>Source: EU-SILC 2017, ad-hoc module, Users’ Data-Base (UDB) version November 2018, own calculations</w:t>
      </w:r>
      <w:r w:rsidR="00E86717" w:rsidRPr="00AE38CA">
        <w:rPr>
          <w:rFonts w:ascii="Verdana" w:hAnsi="Verdana" w:cs="Calibri"/>
          <w:sz w:val="18"/>
          <w:szCs w:val="19"/>
        </w:rPr>
        <w:t>, as published in FSCG Inception Report</w:t>
      </w:r>
      <w:r w:rsidR="00A40702" w:rsidRPr="00AE38CA">
        <w:rPr>
          <w:rFonts w:ascii="Verdana" w:hAnsi="Verdana" w:cs="Calibri"/>
          <w:sz w:val="18"/>
          <w:szCs w:val="19"/>
        </w:rPr>
        <w:t xml:space="preserve"> (2018)</w:t>
      </w:r>
    </w:p>
    <w:p w14:paraId="663F88DB" w14:textId="7DE91917" w:rsidR="00451656" w:rsidRPr="00AE38CA" w:rsidRDefault="003505B6" w:rsidP="00B853BF">
      <w:pPr>
        <w:pStyle w:val="Plattetekst"/>
        <w:rPr>
          <w:bCs/>
          <w:lang w:bidi="en-GB"/>
        </w:rPr>
      </w:pPr>
      <w:r w:rsidRPr="00AE38CA">
        <w:lastRenderedPageBreak/>
        <w:t>There is no national</w:t>
      </w:r>
      <w:r w:rsidR="00664A2B" w:rsidRPr="00AE38CA">
        <w:t xml:space="preserve"> </w:t>
      </w:r>
      <w:r w:rsidRPr="00AE38CA">
        <w:t xml:space="preserve">administrative definition of children with </w:t>
      </w:r>
      <w:r w:rsidR="00664A2B" w:rsidRPr="00AE38CA">
        <w:t>special needs</w:t>
      </w:r>
      <w:r w:rsidRPr="00AE38CA">
        <w:t xml:space="preserve">. </w:t>
      </w:r>
      <w:r w:rsidR="007A54D3" w:rsidRPr="00AE38CA">
        <w:t>In a</w:t>
      </w:r>
      <w:r w:rsidR="00B80148" w:rsidRPr="00AE38CA">
        <w:t xml:space="preserve"> study from 2016</w:t>
      </w:r>
      <w:r w:rsidR="009F1E44" w:rsidRPr="00AE38CA">
        <w:t xml:space="preserve">, </w:t>
      </w:r>
      <w:r w:rsidR="00664A2B" w:rsidRPr="00AE38CA">
        <w:t>researchers</w:t>
      </w:r>
      <w:r w:rsidR="00B80148" w:rsidRPr="00AE38CA">
        <w:t xml:space="preserve"> tried to estimate the number of children with </w:t>
      </w:r>
      <w:r w:rsidR="00825DF6" w:rsidRPr="00AE38CA">
        <w:t xml:space="preserve">special needs based on the number of children </w:t>
      </w:r>
      <w:r w:rsidR="00517141" w:rsidRPr="00AE38CA">
        <w:t xml:space="preserve">for </w:t>
      </w:r>
      <w:r w:rsidR="00426036" w:rsidRPr="00AE38CA">
        <w:t>who</w:t>
      </w:r>
      <w:r w:rsidR="00517141" w:rsidRPr="00AE38CA">
        <w:t>m spe</w:t>
      </w:r>
      <w:r w:rsidR="00426036" w:rsidRPr="00AE38CA">
        <w:t>cial care</w:t>
      </w:r>
      <w:r w:rsidR="00517141" w:rsidRPr="00AE38CA">
        <w:t xml:space="preserve"> was requested (</w:t>
      </w:r>
      <w:proofErr w:type="spellStart"/>
      <w:r w:rsidR="006A64E9" w:rsidRPr="00AE38CA">
        <w:t>Tierolf</w:t>
      </w:r>
      <w:proofErr w:type="spellEnd"/>
      <w:r w:rsidR="006A64E9" w:rsidRPr="00AE38CA">
        <w:t xml:space="preserve">, </w:t>
      </w:r>
      <w:proofErr w:type="spellStart"/>
      <w:r w:rsidR="006A64E9" w:rsidRPr="00AE38CA">
        <w:t>Gilsing</w:t>
      </w:r>
      <w:proofErr w:type="spellEnd"/>
      <w:r w:rsidR="006A64E9" w:rsidRPr="00AE38CA">
        <w:t xml:space="preserve">, </w:t>
      </w:r>
      <w:proofErr w:type="spellStart"/>
      <w:r w:rsidR="006A64E9" w:rsidRPr="00AE38CA">
        <w:t>Steketee</w:t>
      </w:r>
      <w:proofErr w:type="spellEnd"/>
      <w:r w:rsidR="006A64E9" w:rsidRPr="00AE38CA">
        <w:t>, 2016</w:t>
      </w:r>
      <w:r w:rsidR="00576057" w:rsidRPr="00AE38CA">
        <w:t>)</w:t>
      </w:r>
      <w:r w:rsidR="00517141" w:rsidRPr="00AE38CA">
        <w:t>.</w:t>
      </w:r>
      <w:r w:rsidR="00576057" w:rsidRPr="00AE38CA">
        <w:t xml:space="preserve"> </w:t>
      </w:r>
      <w:r w:rsidR="00DF37C9" w:rsidRPr="00AE38CA">
        <w:t>It concludes that</w:t>
      </w:r>
      <w:r w:rsidR="001700E4" w:rsidRPr="00AE38CA">
        <w:t xml:space="preserve">, in 2015, </w:t>
      </w:r>
      <w:r w:rsidR="00D873A6" w:rsidRPr="00AE38CA">
        <w:t>at least 2</w:t>
      </w:r>
      <w:r w:rsidR="009F1BDE" w:rsidRPr="00AE38CA">
        <w:t>.</w:t>
      </w:r>
      <w:r w:rsidR="00D873A6" w:rsidRPr="00AE38CA">
        <w:t xml:space="preserve">7% of </w:t>
      </w:r>
      <w:r w:rsidR="003E26B4" w:rsidRPr="00AE38CA">
        <w:t xml:space="preserve">all Dutch </w:t>
      </w:r>
      <w:r w:rsidR="00D873A6" w:rsidRPr="00AE38CA">
        <w:t>children ha</w:t>
      </w:r>
      <w:r w:rsidR="00E87698" w:rsidRPr="00AE38CA">
        <w:t>ve</w:t>
      </w:r>
      <w:r w:rsidR="00D873A6" w:rsidRPr="00AE38CA">
        <w:t xml:space="preserve"> a handicap</w:t>
      </w:r>
      <w:r w:rsidR="006968DA" w:rsidRPr="00AE38CA">
        <w:t xml:space="preserve">, which is </w:t>
      </w:r>
      <w:r w:rsidR="00E87698" w:rsidRPr="00AE38CA">
        <w:t>expected</w:t>
      </w:r>
      <w:r w:rsidR="006968DA" w:rsidRPr="00AE38CA">
        <w:t xml:space="preserve"> to be a huge underestimation</w:t>
      </w:r>
      <w:r w:rsidR="0074133D" w:rsidRPr="00AE38CA">
        <w:t xml:space="preserve"> because not all children with a handicap are registered</w:t>
      </w:r>
      <w:r w:rsidR="009F1E44" w:rsidRPr="00AE38CA">
        <w:t xml:space="preserve">. </w:t>
      </w:r>
      <w:r w:rsidR="008152CC" w:rsidRPr="00AE38CA">
        <w:t>Moreover, t</w:t>
      </w:r>
      <w:r w:rsidR="009F1E44" w:rsidRPr="00AE38CA">
        <w:t xml:space="preserve">his study excludes children with chronic psychiatric problems, because there is no </w:t>
      </w:r>
      <w:r w:rsidR="00DD63D2" w:rsidRPr="00AE38CA">
        <w:t xml:space="preserve">reliable </w:t>
      </w:r>
      <w:r w:rsidR="009F1E44" w:rsidRPr="00AE38CA">
        <w:t xml:space="preserve">data available. </w:t>
      </w:r>
      <w:r w:rsidR="00EE430C" w:rsidRPr="00AE38CA">
        <w:t>From these 93</w:t>
      </w:r>
      <w:r w:rsidR="00F26511" w:rsidRPr="00AE38CA">
        <w:t>,</w:t>
      </w:r>
      <w:r w:rsidR="00EE430C" w:rsidRPr="00AE38CA">
        <w:t>500 children,</w:t>
      </w:r>
      <w:r w:rsidR="002A59A6" w:rsidRPr="00AE38CA">
        <w:t xml:space="preserve"> two-third had a mental d</w:t>
      </w:r>
      <w:r w:rsidR="00CA1F1A" w:rsidRPr="00AE38CA">
        <w:t>isability</w:t>
      </w:r>
      <w:r w:rsidR="00503FDA" w:rsidRPr="00AE38CA">
        <w:t>;</w:t>
      </w:r>
      <w:r w:rsidR="00E050E6" w:rsidRPr="00AE38CA">
        <w:t xml:space="preserve"> </w:t>
      </w:r>
      <w:r w:rsidR="00503FDA" w:rsidRPr="00AE38CA">
        <w:t>t</w:t>
      </w:r>
      <w:r w:rsidR="00E050E6" w:rsidRPr="00AE38CA">
        <w:t xml:space="preserve">hirty percent </w:t>
      </w:r>
      <w:r w:rsidR="00075045" w:rsidRPr="00AE38CA">
        <w:t>had a physical disability</w:t>
      </w:r>
      <w:r w:rsidR="00016569" w:rsidRPr="00AE38CA">
        <w:t>;</w:t>
      </w:r>
      <w:r w:rsidR="00526F7D" w:rsidRPr="00AE38CA">
        <w:t xml:space="preserve"> and</w:t>
      </w:r>
      <w:r w:rsidR="00075045" w:rsidRPr="00AE38CA">
        <w:t xml:space="preserve"> </w:t>
      </w:r>
      <w:r w:rsidR="00B17C1A" w:rsidRPr="00AE38CA">
        <w:t>fifteen percent ha</w:t>
      </w:r>
      <w:r w:rsidR="000420EB" w:rsidRPr="00AE38CA">
        <w:t>d</w:t>
      </w:r>
      <w:r w:rsidR="00B17C1A" w:rsidRPr="00AE38CA">
        <w:t xml:space="preserve"> a </w:t>
      </w:r>
      <w:r w:rsidR="00503FDA" w:rsidRPr="00AE38CA">
        <w:t>sensory disability</w:t>
      </w:r>
      <w:r w:rsidR="00E25FFF" w:rsidRPr="00AE38CA">
        <w:t xml:space="preserve">. </w:t>
      </w:r>
      <w:r w:rsidR="00451656" w:rsidRPr="00AE38CA">
        <w:rPr>
          <w:bCs/>
          <w:lang w:bidi="en-GB"/>
        </w:rPr>
        <w:t xml:space="preserve">Figure 7 presents the distribution of children according to the subjective assessment of their health status by the household respondent. </w:t>
      </w:r>
      <w:r w:rsidR="00283A77" w:rsidRPr="00AE38CA">
        <w:rPr>
          <w:bCs/>
          <w:lang w:bidi="en-GB"/>
        </w:rPr>
        <w:t>Although t</w:t>
      </w:r>
      <w:r w:rsidR="00451656" w:rsidRPr="00AE38CA">
        <w:rPr>
          <w:bCs/>
          <w:lang w:bidi="en-GB"/>
        </w:rPr>
        <w:t>he proportion of children with very good health varies considerably between countries</w:t>
      </w:r>
      <w:r w:rsidR="006E0FF8" w:rsidRPr="00AE38CA">
        <w:rPr>
          <w:bCs/>
          <w:lang w:bidi="en-GB"/>
        </w:rPr>
        <w:t xml:space="preserve">, </w:t>
      </w:r>
      <w:r w:rsidR="00593763" w:rsidRPr="00AE38CA">
        <w:rPr>
          <w:bCs/>
          <w:lang w:bidi="en-GB"/>
        </w:rPr>
        <w:t xml:space="preserve">there is much less variation </w:t>
      </w:r>
      <w:r w:rsidR="0032261F" w:rsidRPr="00AE38CA">
        <w:rPr>
          <w:bCs/>
          <w:lang w:bidi="en-GB"/>
        </w:rPr>
        <w:t xml:space="preserve">in the </w:t>
      </w:r>
      <w:r w:rsidR="00D8617D" w:rsidRPr="00AE38CA">
        <w:rPr>
          <w:bCs/>
          <w:lang w:bidi="en-GB"/>
        </w:rPr>
        <w:t xml:space="preserve">proportions </w:t>
      </w:r>
      <w:r w:rsidR="002175A1" w:rsidRPr="00AE38CA">
        <w:rPr>
          <w:bCs/>
          <w:lang w:bidi="en-GB"/>
        </w:rPr>
        <w:t>o</w:t>
      </w:r>
      <w:r w:rsidR="00714532" w:rsidRPr="00AE38CA">
        <w:rPr>
          <w:bCs/>
          <w:lang w:bidi="en-GB"/>
        </w:rPr>
        <w:t>f</w:t>
      </w:r>
      <w:r w:rsidR="002175A1" w:rsidRPr="00AE38CA">
        <w:rPr>
          <w:bCs/>
          <w:lang w:bidi="en-GB"/>
        </w:rPr>
        <w:t xml:space="preserve"> children </w:t>
      </w:r>
      <w:r w:rsidR="004C17AE" w:rsidRPr="00AE38CA">
        <w:rPr>
          <w:bCs/>
          <w:lang w:bidi="en-GB"/>
        </w:rPr>
        <w:t xml:space="preserve">with </w:t>
      </w:r>
      <w:r w:rsidR="00487B86" w:rsidRPr="00AE38CA">
        <w:rPr>
          <w:bCs/>
          <w:lang w:bidi="en-GB"/>
        </w:rPr>
        <w:t xml:space="preserve">(perceived) fair, bad or very bad </w:t>
      </w:r>
      <w:r w:rsidR="00EA3C5B" w:rsidRPr="00AE38CA">
        <w:rPr>
          <w:bCs/>
          <w:lang w:bidi="en-GB"/>
        </w:rPr>
        <w:t xml:space="preserve">health. </w:t>
      </w:r>
      <w:r w:rsidR="00477594" w:rsidRPr="00AE38CA">
        <w:rPr>
          <w:bCs/>
          <w:lang w:bidi="en-GB"/>
        </w:rPr>
        <w:t>In t</w:t>
      </w:r>
      <w:r w:rsidR="00397DC5" w:rsidRPr="00AE38CA">
        <w:rPr>
          <w:bCs/>
          <w:lang w:bidi="en-GB"/>
        </w:rPr>
        <w:t>he Netherlands</w:t>
      </w:r>
      <w:r w:rsidR="00B961F8" w:rsidRPr="00AE38CA">
        <w:rPr>
          <w:bCs/>
          <w:lang w:bidi="en-GB"/>
        </w:rPr>
        <w:t>,</w:t>
      </w:r>
      <w:r w:rsidR="00397DC5" w:rsidRPr="00AE38CA">
        <w:rPr>
          <w:bCs/>
          <w:lang w:bidi="en-GB"/>
        </w:rPr>
        <w:t xml:space="preserve"> </w:t>
      </w:r>
      <w:r w:rsidR="00B961F8" w:rsidRPr="00AE38CA">
        <w:rPr>
          <w:bCs/>
          <w:lang w:bidi="en-GB"/>
        </w:rPr>
        <w:t xml:space="preserve">the health of </w:t>
      </w:r>
      <w:r w:rsidR="002C5B75" w:rsidRPr="00AE38CA">
        <w:rPr>
          <w:bCs/>
          <w:lang w:bidi="en-GB"/>
        </w:rPr>
        <w:t>4</w:t>
      </w:r>
      <w:r w:rsidR="006C3229" w:rsidRPr="00AE38CA">
        <w:rPr>
          <w:bCs/>
          <w:lang w:bidi="en-GB"/>
        </w:rPr>
        <w:t xml:space="preserve">% </w:t>
      </w:r>
      <w:r w:rsidR="00392981" w:rsidRPr="00AE38CA">
        <w:rPr>
          <w:bCs/>
          <w:lang w:bidi="en-GB"/>
        </w:rPr>
        <w:t xml:space="preserve">of </w:t>
      </w:r>
      <w:r w:rsidR="007718F8" w:rsidRPr="00AE38CA">
        <w:rPr>
          <w:bCs/>
          <w:lang w:bidi="en-GB"/>
        </w:rPr>
        <w:t xml:space="preserve">children </w:t>
      </w:r>
      <w:r w:rsidR="0057573F" w:rsidRPr="00AE38CA">
        <w:rPr>
          <w:bCs/>
          <w:lang w:bidi="en-GB"/>
        </w:rPr>
        <w:t xml:space="preserve">is perceived </w:t>
      </w:r>
      <w:r w:rsidR="007718F8" w:rsidRPr="00AE38CA">
        <w:rPr>
          <w:bCs/>
          <w:lang w:bidi="en-GB"/>
        </w:rPr>
        <w:t xml:space="preserve">as </w:t>
      </w:r>
      <w:r w:rsidR="006D0E0E" w:rsidRPr="00AE38CA">
        <w:rPr>
          <w:bCs/>
          <w:lang w:bidi="en-GB"/>
        </w:rPr>
        <w:t>fair, bad or very bad</w:t>
      </w:r>
      <w:r w:rsidR="0064203A" w:rsidRPr="00AE38CA">
        <w:rPr>
          <w:bCs/>
          <w:lang w:bidi="en-GB"/>
        </w:rPr>
        <w:t xml:space="preserve">, </w:t>
      </w:r>
      <w:r w:rsidR="005E49A3" w:rsidRPr="00AE38CA">
        <w:rPr>
          <w:bCs/>
          <w:lang w:bidi="en-GB"/>
        </w:rPr>
        <w:t>which is average</w:t>
      </w:r>
      <w:r w:rsidR="0024158F" w:rsidRPr="00AE38CA">
        <w:rPr>
          <w:bCs/>
          <w:lang w:bidi="en-GB"/>
        </w:rPr>
        <w:t>.</w:t>
      </w:r>
      <w:r w:rsidR="0064203A" w:rsidRPr="00AE38CA">
        <w:rPr>
          <w:bCs/>
          <w:lang w:bidi="en-GB"/>
        </w:rPr>
        <w:t xml:space="preserve"> </w:t>
      </w:r>
      <w:r w:rsidR="00804ECF" w:rsidRPr="00AE38CA">
        <w:rPr>
          <w:bCs/>
          <w:lang w:bidi="en-GB"/>
        </w:rPr>
        <w:t xml:space="preserve">The score for </w:t>
      </w:r>
      <w:r w:rsidR="001837FF" w:rsidRPr="00AE38CA">
        <w:rPr>
          <w:bCs/>
          <w:lang w:bidi="en-GB"/>
        </w:rPr>
        <w:t>‘very high’</w:t>
      </w:r>
      <w:r w:rsidR="007B0763" w:rsidRPr="00AE38CA">
        <w:rPr>
          <w:bCs/>
          <w:lang w:bidi="en-GB"/>
        </w:rPr>
        <w:t xml:space="preserve"> </w:t>
      </w:r>
      <w:r w:rsidR="001837FF" w:rsidRPr="00AE38CA">
        <w:rPr>
          <w:bCs/>
          <w:lang w:bidi="en-GB"/>
        </w:rPr>
        <w:t xml:space="preserve">is </w:t>
      </w:r>
      <w:r w:rsidR="0064203A" w:rsidRPr="00AE38CA">
        <w:rPr>
          <w:bCs/>
          <w:lang w:bidi="en-GB"/>
        </w:rPr>
        <w:t>relatively low</w:t>
      </w:r>
      <w:r w:rsidR="00FF0B78" w:rsidRPr="00AE38CA">
        <w:rPr>
          <w:bCs/>
          <w:lang w:bidi="en-GB"/>
        </w:rPr>
        <w:t xml:space="preserve"> in the Netherlands</w:t>
      </w:r>
      <w:r w:rsidR="007B0763" w:rsidRPr="00AE38CA">
        <w:rPr>
          <w:bCs/>
          <w:lang w:bidi="en-GB"/>
        </w:rPr>
        <w:t xml:space="preserve">. </w:t>
      </w:r>
    </w:p>
    <w:p w14:paraId="55CA81DC" w14:textId="77777777" w:rsidR="00451656" w:rsidRPr="00AE38CA" w:rsidRDefault="00451656" w:rsidP="00B853BF">
      <w:pPr>
        <w:pStyle w:val="Plattetekst"/>
        <w:rPr>
          <w:lang w:bidi="en-GB"/>
        </w:rPr>
      </w:pPr>
    </w:p>
    <w:p w14:paraId="73010391" w14:textId="45DBB57E" w:rsidR="00260F31" w:rsidRPr="00AE38CA" w:rsidRDefault="00260F31" w:rsidP="00451656">
      <w:pPr>
        <w:pStyle w:val="Plattetekst"/>
        <w:rPr>
          <w:rFonts w:cs="Arial"/>
          <w:b/>
          <w:i/>
          <w:color w:val="263673"/>
          <w:sz w:val="19"/>
          <w:szCs w:val="22"/>
          <w:u w:val="single"/>
          <w:lang w:bidi="en-GB"/>
        </w:rPr>
      </w:pPr>
      <w:r w:rsidRPr="00AE38CA">
        <w:rPr>
          <w:b/>
          <w:bCs/>
          <w:lang w:bidi="en-GB"/>
        </w:rPr>
        <w:t xml:space="preserve">Figure </w:t>
      </w:r>
      <w:r w:rsidR="00E83E6B" w:rsidRPr="00AE38CA">
        <w:rPr>
          <w:b/>
          <w:bCs/>
          <w:lang w:bidi="en-GB"/>
        </w:rPr>
        <w:t>7</w:t>
      </w:r>
      <w:r w:rsidRPr="00AE38CA">
        <w:rPr>
          <w:b/>
          <w:bCs/>
          <w:lang w:bidi="en-GB"/>
        </w:rPr>
        <w:t>: Repartition of children according to the perceived general/overall health, Children 0-15 years old, EU countries, 2017, %</w:t>
      </w:r>
    </w:p>
    <w:p w14:paraId="08F2D6D4" w14:textId="598A5C0C" w:rsidR="00260F31" w:rsidRPr="00AE38CA" w:rsidRDefault="004268D4" w:rsidP="00260F31">
      <w:pPr>
        <w:spacing w:after="160" w:line="259" w:lineRule="auto"/>
        <w:rPr>
          <w:rFonts w:ascii="Verdana" w:eastAsia="Calibri" w:hAnsi="Verdana"/>
          <w:bCs/>
          <w:sz w:val="20"/>
          <w:szCs w:val="22"/>
        </w:rPr>
      </w:pPr>
      <w:r w:rsidRPr="00AE38CA">
        <w:rPr>
          <w:rFonts w:ascii="Verdana" w:eastAsia="Calibri" w:hAnsi="Verdana"/>
          <w:noProof/>
          <w:sz w:val="20"/>
          <w:szCs w:val="22"/>
          <w:lang w:val="en-IE" w:eastAsia="en-IE"/>
        </w:rPr>
        <w:drawing>
          <wp:inline distT="0" distB="0" distL="0" distR="0" wp14:anchorId="770B2A14" wp14:editId="0FDE2DA9">
            <wp:extent cx="5824220" cy="3009900"/>
            <wp:effectExtent l="0" t="0" r="0" b="0"/>
            <wp:docPr id="10" name="Afbeelding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7282DF3" w14:textId="0EC83648" w:rsidR="00260F31" w:rsidRPr="00AE38CA" w:rsidRDefault="00260F31" w:rsidP="00260F31">
      <w:pPr>
        <w:spacing w:before="60" w:after="160" w:line="259" w:lineRule="auto"/>
        <w:jc w:val="left"/>
        <w:rPr>
          <w:rFonts w:ascii="Verdana" w:hAnsi="Verdana" w:cs="Calibri"/>
          <w:sz w:val="18"/>
          <w:szCs w:val="19"/>
        </w:rPr>
      </w:pPr>
      <w:r w:rsidRPr="00AE38CA">
        <w:rPr>
          <w:rFonts w:ascii="Verdana" w:hAnsi="Verdana" w:cs="Calibri"/>
          <w:sz w:val="18"/>
          <w:szCs w:val="19"/>
        </w:rPr>
        <w:t>Source: EU-SILC 2017, ad-hoc module. UDB version November 2018, own calculations. No data available for IE and UK</w:t>
      </w:r>
      <w:r w:rsidR="00E86717" w:rsidRPr="00AE38CA">
        <w:rPr>
          <w:rFonts w:ascii="Verdana" w:hAnsi="Verdana" w:cs="Calibri"/>
          <w:sz w:val="18"/>
          <w:szCs w:val="19"/>
        </w:rPr>
        <w:t>, as published in FSCG Inception Report</w:t>
      </w:r>
      <w:r w:rsidR="00A40702" w:rsidRPr="00AE38CA">
        <w:rPr>
          <w:rFonts w:ascii="Verdana" w:hAnsi="Verdana" w:cs="Calibri"/>
          <w:sz w:val="18"/>
          <w:szCs w:val="19"/>
        </w:rPr>
        <w:t xml:space="preserve"> (2018)</w:t>
      </w:r>
    </w:p>
    <w:p w14:paraId="146BF050" w14:textId="77777777" w:rsidR="008E7F61" w:rsidRPr="00AE38CA" w:rsidRDefault="008E7F61">
      <w:pPr>
        <w:spacing w:after="0"/>
        <w:jc w:val="left"/>
        <w:rPr>
          <w:rFonts w:ascii="Verdana" w:hAnsi="Verdana"/>
          <w:b/>
          <w:sz w:val="26"/>
          <w:szCs w:val="26"/>
        </w:rPr>
      </w:pPr>
      <w:bookmarkStart w:id="7" w:name="_Toc532388664"/>
      <w:r w:rsidRPr="00AE38CA">
        <w:br w:type="page"/>
      </w:r>
    </w:p>
    <w:p w14:paraId="7B38769C" w14:textId="66DAC732" w:rsidR="0043181E" w:rsidRPr="00AE38CA" w:rsidRDefault="00AF5BC3" w:rsidP="0043181E">
      <w:pPr>
        <w:pStyle w:val="Kop1"/>
      </w:pPr>
      <w:r w:rsidRPr="00AE38CA">
        <w:lastRenderedPageBreak/>
        <w:t>Description and assessment of main policies and programmes in place and recommendations for improvements</w:t>
      </w:r>
      <w:bookmarkEnd w:id="7"/>
      <w:r w:rsidR="002A36D8" w:rsidRPr="00AE38CA">
        <w:t xml:space="preserve"> </w:t>
      </w:r>
    </w:p>
    <w:p w14:paraId="4FCD9BD1" w14:textId="21006932" w:rsidR="006842AB" w:rsidRPr="00AE38CA" w:rsidRDefault="004E78B6" w:rsidP="001965B0">
      <w:pPr>
        <w:pStyle w:val="Kop2"/>
        <w:numPr>
          <w:ilvl w:val="1"/>
          <w:numId w:val="30"/>
        </w:numPr>
      </w:pPr>
      <w:r w:rsidRPr="00AE38CA">
        <w:rPr>
          <w:rFonts w:eastAsia="Times New Roman"/>
          <w:sz w:val="20"/>
        </w:rPr>
        <w:t xml:space="preserve">The Netherlands: </w:t>
      </w:r>
      <w:r w:rsidR="006842AB" w:rsidRPr="00AE38CA">
        <w:rPr>
          <w:rFonts w:eastAsia="Times New Roman"/>
          <w:sz w:val="20"/>
        </w:rPr>
        <w:t>International and national context</w:t>
      </w:r>
      <w:r w:rsidR="006842AB" w:rsidRPr="00AE38CA">
        <w:rPr>
          <w:b w:val="0"/>
        </w:rPr>
        <w:t xml:space="preserve"> </w:t>
      </w:r>
    </w:p>
    <w:p w14:paraId="1DDF7765" w14:textId="453380E8" w:rsidR="006842AB" w:rsidRPr="00AE38CA" w:rsidRDefault="006842AB" w:rsidP="006842AB">
      <w:pPr>
        <w:pStyle w:val="Plattetekst"/>
        <w:rPr>
          <w:lang w:bidi="en-GB"/>
        </w:rPr>
      </w:pPr>
      <w:r w:rsidRPr="00AE38CA">
        <w:rPr>
          <w:lang w:bidi="en-GB"/>
        </w:rPr>
        <w:t xml:space="preserve">As stated </w:t>
      </w:r>
      <w:r w:rsidR="008578AF" w:rsidRPr="00AE38CA">
        <w:rPr>
          <w:lang w:bidi="en-GB"/>
        </w:rPr>
        <w:t xml:space="preserve">in </w:t>
      </w:r>
      <w:r w:rsidRPr="00AE38CA">
        <w:rPr>
          <w:lang w:bidi="en-GB"/>
        </w:rPr>
        <w:t xml:space="preserve">the Dutch Constitution, the Dutch government is committed to promoting the development of the international legal order. This commitment is reflected in the various international human rights agreements that the Netherlands </w:t>
      </w:r>
      <w:r w:rsidR="0063220E" w:rsidRPr="00AE38CA">
        <w:rPr>
          <w:lang w:bidi="en-GB"/>
        </w:rPr>
        <w:t>has been</w:t>
      </w:r>
      <w:r w:rsidRPr="00AE38CA">
        <w:rPr>
          <w:lang w:bidi="en-GB"/>
        </w:rPr>
        <w:t xml:space="preserve"> a party to for over the past decades, including agreements for promoting and securing the rights of children</w:t>
      </w:r>
      <w:r w:rsidR="00D76247" w:rsidRPr="00AE38CA">
        <w:rPr>
          <w:lang w:bidi="en-GB"/>
        </w:rPr>
        <w:t>:</w:t>
      </w:r>
    </w:p>
    <w:p w14:paraId="20F428B2" w14:textId="77777777" w:rsidR="00D76247" w:rsidRPr="00AE38CA" w:rsidRDefault="00D76247" w:rsidP="001965B0">
      <w:pPr>
        <w:pStyle w:val="Plattetekst"/>
        <w:numPr>
          <w:ilvl w:val="0"/>
          <w:numId w:val="27"/>
        </w:numPr>
        <w:rPr>
          <w:lang w:bidi="en-GB"/>
        </w:rPr>
      </w:pPr>
      <w:r w:rsidRPr="00AE38CA">
        <w:rPr>
          <w:lang w:bidi="en-GB"/>
        </w:rPr>
        <w:t>the International Covenant on Civil and Political Rights;</w:t>
      </w:r>
    </w:p>
    <w:p w14:paraId="51CA07AF" w14:textId="77777777" w:rsidR="00D76247" w:rsidRPr="00AE38CA" w:rsidRDefault="00D76247" w:rsidP="001965B0">
      <w:pPr>
        <w:pStyle w:val="Plattetekst"/>
        <w:numPr>
          <w:ilvl w:val="0"/>
          <w:numId w:val="27"/>
        </w:numPr>
        <w:rPr>
          <w:lang w:bidi="en-GB"/>
        </w:rPr>
      </w:pPr>
      <w:r w:rsidRPr="00AE38CA">
        <w:rPr>
          <w:lang w:bidi="en-GB"/>
        </w:rPr>
        <w:t>the International Covenant on Economic, Social and Cultural Rights;</w:t>
      </w:r>
    </w:p>
    <w:p w14:paraId="4E95A84E" w14:textId="77777777" w:rsidR="00D76247" w:rsidRPr="00AE38CA" w:rsidRDefault="00D76247" w:rsidP="001965B0">
      <w:pPr>
        <w:pStyle w:val="Plattetekst"/>
        <w:numPr>
          <w:ilvl w:val="0"/>
          <w:numId w:val="27"/>
        </w:numPr>
        <w:rPr>
          <w:lang w:bidi="en-GB"/>
        </w:rPr>
      </w:pPr>
      <w:r w:rsidRPr="00AE38CA">
        <w:rPr>
          <w:lang w:bidi="en-GB"/>
        </w:rPr>
        <w:t>the International Convention on the Elimination of All Forms of Racial Discrimination;</w:t>
      </w:r>
    </w:p>
    <w:p w14:paraId="5E66891B" w14:textId="77777777" w:rsidR="00D76247" w:rsidRPr="00AE38CA" w:rsidRDefault="00D76247" w:rsidP="001965B0">
      <w:pPr>
        <w:pStyle w:val="Plattetekst"/>
        <w:numPr>
          <w:ilvl w:val="0"/>
          <w:numId w:val="27"/>
        </w:numPr>
        <w:rPr>
          <w:lang w:bidi="en-GB"/>
        </w:rPr>
      </w:pPr>
      <w:r w:rsidRPr="00AE38CA">
        <w:rPr>
          <w:lang w:bidi="en-GB"/>
        </w:rPr>
        <w:t>the Convention on the Elimination of All Forms of Discrimination against Women;</w:t>
      </w:r>
    </w:p>
    <w:p w14:paraId="1EA6C9AC" w14:textId="77777777" w:rsidR="00D76247" w:rsidRPr="00AE38CA" w:rsidRDefault="00D76247" w:rsidP="001965B0">
      <w:pPr>
        <w:pStyle w:val="Plattetekst"/>
        <w:numPr>
          <w:ilvl w:val="0"/>
          <w:numId w:val="27"/>
        </w:numPr>
        <w:rPr>
          <w:lang w:bidi="en-GB"/>
        </w:rPr>
      </w:pPr>
      <w:r w:rsidRPr="00AE38CA">
        <w:rPr>
          <w:lang w:bidi="en-GB"/>
        </w:rPr>
        <w:t>the Optional Protocol to the Convention against Torture and Other Cruel, Inhuman or Degrading Treatment or Punishment;</w:t>
      </w:r>
    </w:p>
    <w:p w14:paraId="7F937E6F" w14:textId="77777777" w:rsidR="00D76247" w:rsidRPr="00AE38CA" w:rsidRDefault="00D76247" w:rsidP="001965B0">
      <w:pPr>
        <w:pStyle w:val="Plattetekst"/>
        <w:numPr>
          <w:ilvl w:val="0"/>
          <w:numId w:val="27"/>
        </w:numPr>
        <w:rPr>
          <w:lang w:bidi="en-GB"/>
        </w:rPr>
      </w:pPr>
      <w:r w:rsidRPr="00AE38CA">
        <w:rPr>
          <w:lang w:bidi="en-GB"/>
        </w:rPr>
        <w:t>the Convention on the Rights of the Child;</w:t>
      </w:r>
    </w:p>
    <w:p w14:paraId="586655F1" w14:textId="77777777" w:rsidR="00D76247" w:rsidRPr="00AE38CA" w:rsidRDefault="00D76247" w:rsidP="001965B0">
      <w:pPr>
        <w:pStyle w:val="Plattetekst"/>
        <w:numPr>
          <w:ilvl w:val="0"/>
          <w:numId w:val="27"/>
        </w:numPr>
        <w:rPr>
          <w:lang w:bidi="en-GB"/>
        </w:rPr>
      </w:pPr>
      <w:r w:rsidRPr="00AE38CA">
        <w:rPr>
          <w:lang w:bidi="en-GB"/>
        </w:rPr>
        <w:t>the International Convention for the Protection of All Persons from Enforced Disappearance;</w:t>
      </w:r>
    </w:p>
    <w:p w14:paraId="68FBF4DC" w14:textId="77777777" w:rsidR="00D76247" w:rsidRPr="00AE38CA" w:rsidRDefault="00D76247" w:rsidP="001965B0">
      <w:pPr>
        <w:pStyle w:val="Plattetekst"/>
        <w:numPr>
          <w:ilvl w:val="0"/>
          <w:numId w:val="27"/>
        </w:numPr>
        <w:rPr>
          <w:lang w:bidi="en-GB"/>
        </w:rPr>
      </w:pPr>
      <w:r w:rsidRPr="00AE38CA">
        <w:rPr>
          <w:lang w:bidi="en-GB"/>
        </w:rPr>
        <w:t>the Convention for the Protection of Human Rights and Fundamental Freedoms;</w:t>
      </w:r>
    </w:p>
    <w:p w14:paraId="24ED94DC" w14:textId="77777777" w:rsidR="00D76247" w:rsidRPr="00AE38CA" w:rsidRDefault="00D76247" w:rsidP="001965B0">
      <w:pPr>
        <w:pStyle w:val="Plattetekst"/>
        <w:numPr>
          <w:ilvl w:val="0"/>
          <w:numId w:val="27"/>
        </w:numPr>
      </w:pPr>
      <w:r w:rsidRPr="00AE38CA">
        <w:rPr>
          <w:lang w:bidi="en-GB"/>
        </w:rPr>
        <w:t>the European Social Charter</w:t>
      </w:r>
      <w:r w:rsidRPr="00AE38CA">
        <w:t>.</w:t>
      </w:r>
    </w:p>
    <w:p w14:paraId="13D9A29C" w14:textId="69F855EE" w:rsidR="006842AB" w:rsidRPr="00AE38CA" w:rsidRDefault="0037321F" w:rsidP="006842AB">
      <w:pPr>
        <w:pStyle w:val="Plattetekst"/>
        <w:rPr>
          <w:lang w:bidi="en-GB"/>
        </w:rPr>
      </w:pPr>
      <w:r w:rsidRPr="00AE38CA">
        <w:rPr>
          <w:lang w:bidi="en-GB"/>
        </w:rPr>
        <w:t>C</w:t>
      </w:r>
      <w:r w:rsidR="006842AB" w:rsidRPr="00AE38CA">
        <w:rPr>
          <w:lang w:bidi="en-GB"/>
        </w:rPr>
        <w:t>ommitting to these agreements</w:t>
      </w:r>
      <w:r w:rsidRPr="00AE38CA">
        <w:rPr>
          <w:lang w:bidi="en-GB"/>
        </w:rPr>
        <w:t xml:space="preserve"> entails that</w:t>
      </w:r>
      <w:r w:rsidR="006842AB" w:rsidRPr="00AE38CA">
        <w:rPr>
          <w:lang w:bidi="en-GB"/>
        </w:rPr>
        <w:t xml:space="preserve"> the Dutch government has to meet legally binding obligations, such as ensuring that all children in the Netherlands have access to education, housing and health care services, and that assistance in accessing these services is provided when needed. For example, being a party to the Convention on the Rights of the Child </w:t>
      </w:r>
      <w:r w:rsidRPr="00AE38CA">
        <w:rPr>
          <w:lang w:bidi="en-GB"/>
        </w:rPr>
        <w:t xml:space="preserve">means that </w:t>
      </w:r>
      <w:r w:rsidR="006842AB" w:rsidRPr="00AE38CA">
        <w:rPr>
          <w:lang w:bidi="en-GB"/>
        </w:rPr>
        <w:t>the Netherlands is required to combat disease and malnutrition among children “through the provision of adequate nutritious foods and clean drinking-water”</w:t>
      </w:r>
      <w:r w:rsidR="00F1200D" w:rsidRPr="00AE38CA">
        <w:rPr>
          <w:lang w:bidi="en-GB"/>
        </w:rPr>
        <w:t xml:space="preserve"> (</w:t>
      </w:r>
      <w:r w:rsidR="004F5758" w:rsidRPr="00AE38CA">
        <w:rPr>
          <w:lang w:bidi="en-GB"/>
        </w:rPr>
        <w:t>OHCHR, 1989)</w:t>
      </w:r>
      <w:r w:rsidR="008B6169" w:rsidRPr="00AE38CA">
        <w:rPr>
          <w:lang w:bidi="en-GB"/>
        </w:rPr>
        <w:t>.</w:t>
      </w:r>
      <w:r w:rsidR="006842AB" w:rsidRPr="00AE38CA">
        <w:rPr>
          <w:lang w:bidi="en-GB"/>
        </w:rPr>
        <w:t xml:space="preserve"> Moreover, the Convention on the Rights of Persons with Disabilities states that </w:t>
      </w:r>
      <w:r w:rsidR="008B6169" w:rsidRPr="00AE38CA">
        <w:rPr>
          <w:lang w:bidi="en-GB"/>
        </w:rPr>
        <w:t>M</w:t>
      </w:r>
      <w:r w:rsidR="006842AB" w:rsidRPr="00AE38CA">
        <w:rPr>
          <w:lang w:bidi="en-GB"/>
        </w:rPr>
        <w:t xml:space="preserve">ember </w:t>
      </w:r>
      <w:r w:rsidR="008B6169" w:rsidRPr="00AE38CA">
        <w:rPr>
          <w:lang w:bidi="en-GB"/>
        </w:rPr>
        <w:t>S</w:t>
      </w:r>
      <w:r w:rsidR="006842AB" w:rsidRPr="00AE38CA">
        <w:rPr>
          <w:lang w:bidi="en-GB"/>
        </w:rPr>
        <w:t xml:space="preserve">tates shall take measures to prevent discriminatory denial </w:t>
      </w:r>
      <w:r w:rsidR="008B6169" w:rsidRPr="00AE38CA">
        <w:rPr>
          <w:lang w:bidi="en-GB"/>
        </w:rPr>
        <w:t xml:space="preserve">of access to </w:t>
      </w:r>
      <w:r w:rsidR="006842AB" w:rsidRPr="00AE38CA">
        <w:rPr>
          <w:lang w:bidi="en-GB"/>
        </w:rPr>
        <w:t xml:space="preserve">health care, health services or food and fluids on the basis of </w:t>
      </w:r>
      <w:r w:rsidR="007D748E" w:rsidRPr="00AE38CA">
        <w:rPr>
          <w:lang w:bidi="en-GB"/>
        </w:rPr>
        <w:t>disability (UN, 2006)</w:t>
      </w:r>
      <w:r w:rsidR="006842AB" w:rsidRPr="00AE38CA">
        <w:rPr>
          <w:lang w:bidi="en-GB"/>
        </w:rPr>
        <w:t>.</w:t>
      </w:r>
    </w:p>
    <w:p w14:paraId="1F3FE48F" w14:textId="20D6F238" w:rsidR="006842AB" w:rsidRPr="00AE38CA" w:rsidRDefault="006842AB" w:rsidP="006842AB">
      <w:pPr>
        <w:pStyle w:val="Plattetekst"/>
        <w:rPr>
          <w:lang w:bidi="en-GB"/>
        </w:rPr>
      </w:pPr>
      <w:r w:rsidRPr="00AE38CA">
        <w:rPr>
          <w:lang w:bidi="en-GB"/>
        </w:rPr>
        <w:t xml:space="preserve">These agreements require </w:t>
      </w:r>
      <w:r w:rsidR="00753951" w:rsidRPr="00AE38CA">
        <w:rPr>
          <w:lang w:bidi="en-GB"/>
        </w:rPr>
        <w:t>M</w:t>
      </w:r>
      <w:r w:rsidRPr="00AE38CA">
        <w:rPr>
          <w:lang w:bidi="en-GB"/>
        </w:rPr>
        <w:t xml:space="preserve">ember </w:t>
      </w:r>
      <w:r w:rsidR="00753951" w:rsidRPr="00AE38CA">
        <w:rPr>
          <w:lang w:bidi="en-GB"/>
        </w:rPr>
        <w:t>S</w:t>
      </w:r>
      <w:r w:rsidRPr="00AE38CA">
        <w:rPr>
          <w:lang w:bidi="en-GB"/>
        </w:rPr>
        <w:t xml:space="preserve">tates to periodically </w:t>
      </w:r>
      <w:r w:rsidR="00753951" w:rsidRPr="00AE38CA">
        <w:rPr>
          <w:lang w:bidi="en-GB"/>
        </w:rPr>
        <w:t xml:space="preserve">submit </w:t>
      </w:r>
      <w:r w:rsidRPr="00AE38CA">
        <w:rPr>
          <w:lang w:bidi="en-GB"/>
        </w:rPr>
        <w:t>progress reports to international committees for monitoring and evaluation purposes. Countries will then receive input and recommendations to refine their policies and practices in specific areas. The committees generally comprise experts in the field, such as the UN Committee on the Rights of Persons With Disabilities and the Committee on the Rights of the Child</w:t>
      </w:r>
      <w:r w:rsidR="00D025A0" w:rsidRPr="00AE38CA">
        <w:rPr>
          <w:lang w:bidi="en-GB"/>
        </w:rPr>
        <w:t>.</w:t>
      </w:r>
      <w:r w:rsidR="008B666F" w:rsidRPr="00AE38CA">
        <w:rPr>
          <w:lang w:bidi="en-GB"/>
        </w:rPr>
        <w:t xml:space="preserve"> </w:t>
      </w:r>
      <w:r w:rsidRPr="00AE38CA">
        <w:rPr>
          <w:lang w:bidi="en-GB"/>
        </w:rPr>
        <w:t>Both committees comprise 18 independent international experts who are elected for a term of four years by States parties</w:t>
      </w:r>
      <w:r w:rsidR="00D025A0" w:rsidRPr="00AE38CA">
        <w:rPr>
          <w:lang w:bidi="en-GB"/>
        </w:rPr>
        <w:t xml:space="preserve"> (OHCHR, n.d.)</w:t>
      </w:r>
      <w:r w:rsidRPr="00AE38CA">
        <w:rPr>
          <w:lang w:bidi="en-GB"/>
        </w:rPr>
        <w:t xml:space="preserve">. </w:t>
      </w:r>
    </w:p>
    <w:p w14:paraId="72CDA1FB" w14:textId="2B416495" w:rsidR="00B53533" w:rsidRPr="00AE38CA" w:rsidRDefault="005063DA" w:rsidP="00B53533">
      <w:pPr>
        <w:pStyle w:val="Plattetekst"/>
        <w:rPr>
          <w:rFonts w:eastAsia="Cambria"/>
          <w:iCs/>
          <w:lang w:val="en-US"/>
        </w:rPr>
      </w:pPr>
      <w:r w:rsidRPr="00AE38CA">
        <w:rPr>
          <w:lang w:bidi="en-GB"/>
        </w:rPr>
        <w:t xml:space="preserve">Enforceable rights. </w:t>
      </w:r>
      <w:r w:rsidR="00051750" w:rsidRPr="00AE38CA">
        <w:rPr>
          <w:lang w:bidi="en-GB"/>
        </w:rPr>
        <w:t>T</w:t>
      </w:r>
      <w:r w:rsidR="00956941" w:rsidRPr="00AE38CA">
        <w:rPr>
          <w:lang w:bidi="en-GB"/>
        </w:rPr>
        <w:t xml:space="preserve">he UNCRC report </w:t>
      </w:r>
      <w:r w:rsidR="00201A46" w:rsidRPr="00AE38CA">
        <w:rPr>
          <w:lang w:bidi="en-GB"/>
        </w:rPr>
        <w:t xml:space="preserve">(2014) </w:t>
      </w:r>
      <w:r w:rsidR="007F1BCB" w:rsidRPr="00AE38CA">
        <w:rPr>
          <w:lang w:bidi="en-GB"/>
        </w:rPr>
        <w:t xml:space="preserve">on </w:t>
      </w:r>
      <w:r w:rsidRPr="00AE38CA">
        <w:rPr>
          <w:lang w:bidi="en-GB"/>
        </w:rPr>
        <w:t xml:space="preserve">the Netherlands </w:t>
      </w:r>
      <w:r w:rsidR="009E5BF6" w:rsidRPr="00AE38CA">
        <w:rPr>
          <w:rFonts w:eastAsia="Cambria"/>
        </w:rPr>
        <w:t>shows that a number of improvements have been made in the period under review</w:t>
      </w:r>
      <w:r w:rsidR="001D1566" w:rsidRPr="00AE38CA">
        <w:rPr>
          <w:rFonts w:eastAsia="Cambria"/>
        </w:rPr>
        <w:t>. They concern</w:t>
      </w:r>
      <w:r w:rsidR="00544551" w:rsidRPr="00AE38CA">
        <w:rPr>
          <w:rFonts w:eastAsia="Cambria"/>
        </w:rPr>
        <w:t xml:space="preserve"> </w:t>
      </w:r>
      <w:r w:rsidR="00A6779B" w:rsidRPr="00AE38CA">
        <w:rPr>
          <w:rFonts w:eastAsia="Cambria"/>
        </w:rPr>
        <w:t>the p</w:t>
      </w:r>
      <w:r w:rsidR="002757B9" w:rsidRPr="00AE38CA">
        <w:rPr>
          <w:rFonts w:eastAsia="Cambria"/>
        </w:rPr>
        <w:t>romotion of children’s rights</w:t>
      </w:r>
      <w:r w:rsidR="00A6779B" w:rsidRPr="00AE38CA">
        <w:rPr>
          <w:rFonts w:eastAsia="Cambria"/>
        </w:rPr>
        <w:t xml:space="preserve"> (</w:t>
      </w:r>
      <w:r w:rsidR="00544551" w:rsidRPr="00AE38CA">
        <w:rPr>
          <w:rFonts w:eastAsia="Cambria"/>
        </w:rPr>
        <w:t>a</w:t>
      </w:r>
      <w:r w:rsidR="002757B9" w:rsidRPr="00AE38CA">
        <w:rPr>
          <w:rFonts w:eastAsia="Cambria"/>
        </w:rPr>
        <w:t xml:space="preserve"> Children’s Ombudsman took office </w:t>
      </w:r>
      <w:r w:rsidR="00AA6DDE" w:rsidRPr="00AE38CA">
        <w:rPr>
          <w:rFonts w:eastAsia="Cambria"/>
        </w:rPr>
        <w:t xml:space="preserve">in </w:t>
      </w:r>
      <w:r w:rsidR="002757B9" w:rsidRPr="00AE38CA">
        <w:rPr>
          <w:rFonts w:eastAsia="Cambria"/>
        </w:rPr>
        <w:t xml:space="preserve">2011, the Netherlands Institute for Human Rights was launched </w:t>
      </w:r>
      <w:r w:rsidR="00AA6DDE" w:rsidRPr="00AE38CA">
        <w:rPr>
          <w:rFonts w:eastAsia="Cambria"/>
        </w:rPr>
        <w:t xml:space="preserve">in </w:t>
      </w:r>
      <w:r w:rsidR="002757B9" w:rsidRPr="00AE38CA">
        <w:rPr>
          <w:rFonts w:eastAsia="Cambria"/>
        </w:rPr>
        <w:t>2012</w:t>
      </w:r>
      <w:r w:rsidR="00544551" w:rsidRPr="00AE38CA">
        <w:rPr>
          <w:rFonts w:eastAsia="Cambria"/>
        </w:rPr>
        <w:t xml:space="preserve">); </w:t>
      </w:r>
      <w:r w:rsidR="00613808" w:rsidRPr="00AE38CA">
        <w:rPr>
          <w:rFonts w:eastAsia="Cambria"/>
        </w:rPr>
        <w:t>participation by children and young people</w:t>
      </w:r>
      <w:r w:rsidR="00AD12F1" w:rsidRPr="00AE38CA">
        <w:rPr>
          <w:rFonts w:eastAsia="Cambria"/>
        </w:rPr>
        <w:t>;</w:t>
      </w:r>
      <w:r w:rsidR="00544551" w:rsidRPr="00AE38CA">
        <w:rPr>
          <w:rFonts w:eastAsia="Cambria"/>
        </w:rPr>
        <w:t xml:space="preserve"> </w:t>
      </w:r>
      <w:r w:rsidR="00047B8C" w:rsidRPr="00AE38CA">
        <w:rPr>
          <w:rFonts w:eastAsia="Cambria"/>
        </w:rPr>
        <w:t>p</w:t>
      </w:r>
      <w:r w:rsidR="003069E6" w:rsidRPr="00AE38CA">
        <w:rPr>
          <w:rFonts w:eastAsia="Cambria"/>
        </w:rPr>
        <w:t xml:space="preserve">reventing the need for care; </w:t>
      </w:r>
      <w:r w:rsidR="00047B8C" w:rsidRPr="00AE38CA">
        <w:rPr>
          <w:rFonts w:eastAsia="Cambria"/>
        </w:rPr>
        <w:t>s</w:t>
      </w:r>
      <w:r w:rsidR="00B46073" w:rsidRPr="00AE38CA">
        <w:rPr>
          <w:rFonts w:eastAsia="Cambria"/>
        </w:rPr>
        <w:t>ervices for children;</w:t>
      </w:r>
      <w:r w:rsidR="00610300" w:rsidRPr="00AE38CA">
        <w:rPr>
          <w:rFonts w:eastAsia="Cambria"/>
        </w:rPr>
        <w:t xml:space="preserve"> and</w:t>
      </w:r>
      <w:r w:rsidR="00B46073" w:rsidRPr="00AE38CA">
        <w:rPr>
          <w:rFonts w:eastAsia="Cambria"/>
        </w:rPr>
        <w:t xml:space="preserve"> </w:t>
      </w:r>
      <w:r w:rsidR="00047B8C" w:rsidRPr="00AE38CA">
        <w:rPr>
          <w:rFonts w:eastAsia="Cambria"/>
        </w:rPr>
        <w:t>protection of children.</w:t>
      </w:r>
      <w:r w:rsidR="00AD12F1" w:rsidRPr="00AE38CA">
        <w:rPr>
          <w:lang w:bidi="en-GB"/>
        </w:rPr>
        <w:t xml:space="preserve"> </w:t>
      </w:r>
      <w:r w:rsidR="003C249C" w:rsidRPr="00AE38CA">
        <w:rPr>
          <w:lang w:bidi="en-GB"/>
        </w:rPr>
        <w:t>Furthermore</w:t>
      </w:r>
      <w:r w:rsidR="00610300" w:rsidRPr="00AE38CA">
        <w:rPr>
          <w:lang w:bidi="en-GB"/>
        </w:rPr>
        <w:t>,</w:t>
      </w:r>
      <w:r w:rsidR="003C249C" w:rsidRPr="00AE38CA">
        <w:rPr>
          <w:lang w:bidi="en-GB"/>
        </w:rPr>
        <w:t xml:space="preserve"> </w:t>
      </w:r>
      <w:r w:rsidR="00FE4331" w:rsidRPr="00AE38CA">
        <w:rPr>
          <w:lang w:bidi="en-GB"/>
        </w:rPr>
        <w:t xml:space="preserve">it is </w:t>
      </w:r>
      <w:r w:rsidR="00C10B72" w:rsidRPr="00AE38CA">
        <w:rPr>
          <w:lang w:bidi="en-GB"/>
        </w:rPr>
        <w:t xml:space="preserve">relevant </w:t>
      </w:r>
      <w:r w:rsidR="00FE4331" w:rsidRPr="00AE38CA">
        <w:rPr>
          <w:lang w:bidi="en-GB"/>
        </w:rPr>
        <w:t xml:space="preserve">to </w:t>
      </w:r>
      <w:r w:rsidR="00610300" w:rsidRPr="00AE38CA">
        <w:rPr>
          <w:lang w:bidi="en-GB"/>
        </w:rPr>
        <w:t>emphasise</w:t>
      </w:r>
      <w:r w:rsidR="002D0071" w:rsidRPr="00AE38CA">
        <w:rPr>
          <w:lang w:bidi="en-GB"/>
        </w:rPr>
        <w:t xml:space="preserve"> that </w:t>
      </w:r>
      <w:r w:rsidR="003C249C" w:rsidRPr="00AE38CA">
        <w:rPr>
          <w:rFonts w:eastAsia="Cambria"/>
        </w:rPr>
        <w:t xml:space="preserve">the Netherlands </w:t>
      </w:r>
      <w:r w:rsidR="002D0071" w:rsidRPr="00AE38CA">
        <w:rPr>
          <w:rFonts w:eastAsia="Cambria"/>
        </w:rPr>
        <w:t xml:space="preserve">has </w:t>
      </w:r>
      <w:r w:rsidR="001A01C3" w:rsidRPr="00AE38CA">
        <w:rPr>
          <w:rFonts w:eastAsia="Cambria"/>
        </w:rPr>
        <w:t xml:space="preserve">made </w:t>
      </w:r>
      <w:r w:rsidR="00B53533" w:rsidRPr="00AE38CA">
        <w:rPr>
          <w:rFonts w:eastAsia="Cambria"/>
          <w:iCs/>
          <w:lang w:val="en-US"/>
        </w:rPr>
        <w:t>reservations regarding Articles 26, 37 and 40</w:t>
      </w:r>
      <w:r w:rsidR="00411580" w:rsidRPr="00AE38CA">
        <w:rPr>
          <w:rFonts w:eastAsia="Cambria"/>
          <w:iCs/>
          <w:lang w:val="en-US"/>
        </w:rPr>
        <w:t xml:space="preserve"> of the</w:t>
      </w:r>
      <w:r w:rsidR="007A2CC7" w:rsidRPr="00AE38CA">
        <w:rPr>
          <w:rFonts w:eastAsia="Cambria"/>
          <w:iCs/>
          <w:lang w:val="en-US"/>
        </w:rPr>
        <w:t xml:space="preserve"> Convention on the Rights of the Child</w:t>
      </w:r>
      <w:r w:rsidR="00B53533" w:rsidRPr="00AE38CA">
        <w:rPr>
          <w:rFonts w:eastAsia="Cambria"/>
          <w:iCs/>
          <w:lang w:val="en-US"/>
        </w:rPr>
        <w:t>.</w:t>
      </w:r>
      <w:r w:rsidR="0094069A" w:rsidRPr="00AE38CA">
        <w:rPr>
          <w:rStyle w:val="Voetnootmarkering"/>
          <w:rFonts w:eastAsia="Cambria"/>
          <w:iCs/>
          <w:lang w:val="en-US"/>
        </w:rPr>
        <w:footnoteReference w:id="5"/>
      </w:r>
    </w:p>
    <w:p w14:paraId="5AFDA4B4" w14:textId="16CF06F2" w:rsidR="006842AB" w:rsidRPr="00AE38CA" w:rsidRDefault="006842AB" w:rsidP="006842AB">
      <w:pPr>
        <w:pStyle w:val="Plattetekst"/>
        <w:rPr>
          <w:lang w:bidi="en-GB"/>
        </w:rPr>
      </w:pPr>
      <w:r w:rsidRPr="00AE38CA">
        <w:rPr>
          <w:lang w:bidi="en-GB"/>
        </w:rPr>
        <w:lastRenderedPageBreak/>
        <w:t xml:space="preserve">At </w:t>
      </w:r>
      <w:r w:rsidR="00520715" w:rsidRPr="00AE38CA">
        <w:rPr>
          <w:lang w:bidi="en-GB"/>
        </w:rPr>
        <w:t xml:space="preserve">the </w:t>
      </w:r>
      <w:r w:rsidRPr="00AE38CA">
        <w:rPr>
          <w:lang w:bidi="en-GB"/>
        </w:rPr>
        <w:t xml:space="preserve">national level, </w:t>
      </w:r>
      <w:r w:rsidR="00353DA3" w:rsidRPr="00AE38CA">
        <w:rPr>
          <w:lang w:bidi="en-GB"/>
        </w:rPr>
        <w:t xml:space="preserve">the Dutch social welfare system has recently </w:t>
      </w:r>
      <w:r w:rsidR="003E34FF" w:rsidRPr="00AE38CA">
        <w:rPr>
          <w:lang w:bidi="en-GB"/>
        </w:rPr>
        <w:t>u</w:t>
      </w:r>
      <w:r w:rsidRPr="00AE38CA">
        <w:rPr>
          <w:lang w:bidi="en-GB"/>
        </w:rPr>
        <w:t>ndergone a major transformation in its policies and practices for fostering an inclusive society for all children and youth. Since 2015, key responsibilities and tasks in youth care, long-term care and employment support have been shifted from national level to municipalities at local level.</w:t>
      </w:r>
      <w:r w:rsidRPr="00AE38CA">
        <w:rPr>
          <w:vertAlign w:val="superscript"/>
          <w:lang w:bidi="en-GB"/>
        </w:rPr>
        <w:t xml:space="preserve"> </w:t>
      </w:r>
      <w:r w:rsidRPr="00AE38CA">
        <w:rPr>
          <w:lang w:bidi="en-GB"/>
        </w:rPr>
        <w:t xml:space="preserve">With this ‘decentralisation’, national policies provide municipalities with a framework and guidelines to further design and implement local policies for ensuring an inclusive local environment. For instance, municipalities are now held responsible for providing young children and youth with access to health care services, family support and housing. </w:t>
      </w:r>
    </w:p>
    <w:p w14:paraId="4FA47876" w14:textId="4A6B1910" w:rsidR="006842AB" w:rsidRPr="00AE38CA" w:rsidRDefault="006842AB" w:rsidP="00AF5BC3">
      <w:pPr>
        <w:pStyle w:val="Plattetekst"/>
      </w:pPr>
      <w:r w:rsidRPr="00AE38CA">
        <w:rPr>
          <w:lang w:bidi="en-GB"/>
        </w:rPr>
        <w:t>Within this context, policies and programmes focused on health, education, housing, nutrition and early childhood education and care follow primarily overarching national guidelines and frameworks, but are mostly coordinated, refined and implemented at local level.</w:t>
      </w:r>
    </w:p>
    <w:p w14:paraId="73AE365C" w14:textId="4EE71699" w:rsidR="00882DD3" w:rsidRPr="00AE38CA" w:rsidRDefault="00AF5BC3" w:rsidP="00ED76FE">
      <w:pPr>
        <w:pStyle w:val="Kop2"/>
      </w:pPr>
      <w:bookmarkStart w:id="8" w:name="_Toc532388665"/>
      <w:r w:rsidRPr="00AE38CA">
        <w:t>Description and assessment of main policies in place and recommendations for improvements to ensure adequate nutrition</w:t>
      </w:r>
      <w:bookmarkEnd w:id="8"/>
      <w:r w:rsidR="009565C8" w:rsidRPr="00AE38CA">
        <w:t xml:space="preserve"> </w:t>
      </w:r>
    </w:p>
    <w:p w14:paraId="7D684C0C" w14:textId="77777777" w:rsidR="006842AB" w:rsidRPr="00AE38CA" w:rsidRDefault="006842AB" w:rsidP="006842AB">
      <w:pPr>
        <w:pStyle w:val="Plattetekst"/>
        <w:rPr>
          <w:b/>
          <w:lang w:bidi="en-GB"/>
        </w:rPr>
      </w:pPr>
      <w:r w:rsidRPr="00AE38CA">
        <w:rPr>
          <w:b/>
          <w:lang w:bidi="en-GB"/>
        </w:rPr>
        <w:t>Current national policies for a wide audience</w:t>
      </w:r>
    </w:p>
    <w:p w14:paraId="253A6677" w14:textId="77777777" w:rsidR="006842AB" w:rsidRPr="00AE38CA" w:rsidRDefault="006842AB" w:rsidP="006842AB">
      <w:pPr>
        <w:pStyle w:val="Plattetekst"/>
        <w:rPr>
          <w:lang w:bidi="en-GB"/>
        </w:rPr>
      </w:pPr>
      <w:r w:rsidRPr="00AE38CA">
        <w:rPr>
          <w:lang w:bidi="en-GB"/>
        </w:rPr>
        <w:t xml:space="preserve">In the Netherlands, there are currently several national policies to promote access to adequate nutrition and a healthy food intake. Overall, the current national policies focus on a wide generic audience without specifically targeting any of the target groups as specified for the FSCG. </w:t>
      </w:r>
    </w:p>
    <w:p w14:paraId="4C79B1AE" w14:textId="63BCEB25" w:rsidR="006842AB" w:rsidRPr="00AE38CA" w:rsidRDefault="006842AB" w:rsidP="006842AB">
      <w:pPr>
        <w:pStyle w:val="Plattetekst"/>
        <w:rPr>
          <w:lang w:bidi="en-GB"/>
        </w:rPr>
      </w:pPr>
      <w:r w:rsidRPr="00AE38CA">
        <w:rPr>
          <w:lang w:bidi="en-GB"/>
        </w:rPr>
        <w:t xml:space="preserve">Most recently, the Dutch Ministry of Health, Welfare and Sport </w:t>
      </w:r>
      <w:r w:rsidR="00D47909" w:rsidRPr="00AE38CA">
        <w:rPr>
          <w:lang w:bidi="en-GB"/>
        </w:rPr>
        <w:t xml:space="preserve">(VWS) </w:t>
      </w:r>
      <w:r w:rsidRPr="00AE38CA">
        <w:rPr>
          <w:lang w:bidi="en-GB"/>
        </w:rPr>
        <w:t>announced a new National Prevention Agreement for the period 2018 to 2040. The agreement reflects commitment to the implementation of new health policies by a broad range of stakeholders from various sectors, including local councils, trade and industry, health insurance, health providers, and the sports sector. Combating overweight and promoting healthy nutrition is a key focus area in this agreement.</w:t>
      </w:r>
      <w:r w:rsidRPr="00AE38CA">
        <w:rPr>
          <w:vertAlign w:val="superscript"/>
          <w:lang w:bidi="en-GB"/>
        </w:rPr>
        <w:footnoteReference w:id="6"/>
      </w:r>
      <w:r w:rsidRPr="00AE38CA">
        <w:rPr>
          <w:lang w:bidi="en-GB"/>
        </w:rPr>
        <w:t xml:space="preserve"> With the agreement, the Dutch government is committed to reach specific health targets for children and youth, such as decreasing the prevalence of overweight and obesity.</w:t>
      </w:r>
      <w:r w:rsidRPr="00AE38CA">
        <w:rPr>
          <w:vertAlign w:val="superscript"/>
          <w:lang w:bidi="en-GB"/>
        </w:rPr>
        <w:footnoteReference w:id="7"/>
      </w:r>
      <w:r w:rsidRPr="00AE38CA">
        <w:rPr>
          <w:lang w:bidi="en-GB"/>
        </w:rPr>
        <w:t xml:space="preserve"> Moreover, specific key activities have been identified to promote adequate nutrition among children, including: </w:t>
      </w:r>
    </w:p>
    <w:p w14:paraId="73A240DE" w14:textId="19BB5C7D" w:rsidR="006842AB" w:rsidRPr="00AE38CA" w:rsidRDefault="006842AB" w:rsidP="001965B0">
      <w:pPr>
        <w:pStyle w:val="Plattetekst"/>
        <w:numPr>
          <w:ilvl w:val="0"/>
          <w:numId w:val="27"/>
        </w:numPr>
        <w:ind w:left="284" w:hanging="284"/>
        <w:rPr>
          <w:lang w:bidi="en-GB"/>
        </w:rPr>
      </w:pPr>
      <w:r w:rsidRPr="00AE38CA">
        <w:rPr>
          <w:lang w:bidi="en-GB"/>
        </w:rPr>
        <w:t>implementing stricter policies in the whole food industry for marketing and branding children’s food</w:t>
      </w:r>
      <w:r w:rsidR="00D307E4" w:rsidRPr="00AE38CA">
        <w:rPr>
          <w:lang w:bidi="en-GB"/>
        </w:rPr>
        <w:t>;</w:t>
      </w:r>
    </w:p>
    <w:p w14:paraId="329F6AA1" w14:textId="0007760F" w:rsidR="006842AB" w:rsidRPr="00AE38CA" w:rsidRDefault="006842AB" w:rsidP="001965B0">
      <w:pPr>
        <w:pStyle w:val="Plattetekst"/>
        <w:numPr>
          <w:ilvl w:val="0"/>
          <w:numId w:val="27"/>
        </w:numPr>
        <w:ind w:left="284" w:hanging="284"/>
        <w:rPr>
          <w:lang w:bidi="en-GB"/>
        </w:rPr>
      </w:pPr>
      <w:r w:rsidRPr="00AE38CA">
        <w:rPr>
          <w:lang w:bidi="en-GB"/>
        </w:rPr>
        <w:t>reaching agreements with different food industries to lower the calorie intake of specific food products that generally comprise a high sugar level (e</w:t>
      </w:r>
      <w:r w:rsidR="00182AB0" w:rsidRPr="00AE38CA">
        <w:rPr>
          <w:lang w:bidi="en-GB"/>
        </w:rPr>
        <w:t>.</w:t>
      </w:r>
      <w:r w:rsidRPr="00AE38CA">
        <w:rPr>
          <w:lang w:bidi="en-GB"/>
        </w:rPr>
        <w:t xml:space="preserve">g. </w:t>
      </w:r>
      <w:r w:rsidR="00BB1414" w:rsidRPr="00AE38CA">
        <w:rPr>
          <w:lang w:bidi="en-GB"/>
        </w:rPr>
        <w:t>soft drinks</w:t>
      </w:r>
      <w:r w:rsidRPr="00AE38CA">
        <w:rPr>
          <w:lang w:bidi="en-GB"/>
        </w:rPr>
        <w:t xml:space="preserve">, biscuits and </w:t>
      </w:r>
      <w:r w:rsidR="00BB1414" w:rsidRPr="00AE38CA">
        <w:rPr>
          <w:lang w:bidi="en-GB"/>
        </w:rPr>
        <w:t>sweets</w:t>
      </w:r>
      <w:r w:rsidRPr="00AE38CA">
        <w:rPr>
          <w:lang w:bidi="en-GB"/>
        </w:rPr>
        <w:t>)</w:t>
      </w:r>
      <w:r w:rsidR="00D307E4" w:rsidRPr="00AE38CA">
        <w:rPr>
          <w:lang w:bidi="en-GB"/>
        </w:rPr>
        <w:t>;</w:t>
      </w:r>
    </w:p>
    <w:p w14:paraId="28CA5E35" w14:textId="755D2A1C" w:rsidR="006842AB" w:rsidRPr="00AE38CA" w:rsidRDefault="006842AB" w:rsidP="001965B0">
      <w:pPr>
        <w:pStyle w:val="Plattetekst"/>
        <w:numPr>
          <w:ilvl w:val="0"/>
          <w:numId w:val="27"/>
        </w:numPr>
        <w:ind w:left="284" w:hanging="284"/>
        <w:rPr>
          <w:lang w:bidi="en-GB"/>
        </w:rPr>
      </w:pPr>
      <w:r w:rsidRPr="00AE38CA">
        <w:rPr>
          <w:lang w:bidi="en-GB"/>
        </w:rPr>
        <w:t xml:space="preserve">investing in creating healthier sports </w:t>
      </w:r>
      <w:r w:rsidR="00BB1414" w:rsidRPr="00AE38CA">
        <w:rPr>
          <w:lang w:bidi="en-GB"/>
        </w:rPr>
        <w:t xml:space="preserve">club </w:t>
      </w:r>
      <w:r w:rsidRPr="00AE38CA">
        <w:rPr>
          <w:lang w:bidi="en-GB"/>
        </w:rPr>
        <w:t>canteens and school canteens</w:t>
      </w:r>
      <w:r w:rsidR="00BB1414" w:rsidRPr="00AE38CA">
        <w:rPr>
          <w:lang w:bidi="en-GB"/>
        </w:rPr>
        <w:t>;</w:t>
      </w:r>
    </w:p>
    <w:p w14:paraId="768CE82C" w14:textId="629F1871" w:rsidR="006842AB" w:rsidRPr="00AE38CA" w:rsidRDefault="006842AB" w:rsidP="001965B0">
      <w:pPr>
        <w:pStyle w:val="Plattetekst"/>
        <w:numPr>
          <w:ilvl w:val="0"/>
          <w:numId w:val="27"/>
        </w:numPr>
        <w:ind w:left="284" w:hanging="284"/>
        <w:rPr>
          <w:lang w:bidi="en-GB"/>
        </w:rPr>
      </w:pPr>
      <w:r w:rsidRPr="00AE38CA">
        <w:rPr>
          <w:lang w:bidi="en-GB"/>
        </w:rPr>
        <w:t xml:space="preserve">developing </w:t>
      </w:r>
      <w:r w:rsidR="00BB1414" w:rsidRPr="00AE38CA">
        <w:rPr>
          <w:lang w:bidi="en-GB"/>
        </w:rPr>
        <w:t xml:space="preserve">a </w:t>
      </w:r>
      <w:r w:rsidRPr="00AE38CA">
        <w:rPr>
          <w:lang w:bidi="en-GB"/>
        </w:rPr>
        <w:t>dedicated school intervention programme for children with special education needs to promote a healthier lifestyle</w:t>
      </w:r>
      <w:r w:rsidR="00BB1414" w:rsidRPr="00AE38CA">
        <w:rPr>
          <w:lang w:bidi="en-GB"/>
        </w:rPr>
        <w:t>;</w:t>
      </w:r>
    </w:p>
    <w:p w14:paraId="16B3E6C9" w14:textId="0AF5C33C" w:rsidR="006842AB" w:rsidRPr="00AE38CA" w:rsidRDefault="006842AB" w:rsidP="001965B0">
      <w:pPr>
        <w:pStyle w:val="Plattetekst"/>
        <w:numPr>
          <w:ilvl w:val="0"/>
          <w:numId w:val="27"/>
        </w:numPr>
        <w:ind w:left="284" w:hanging="284"/>
        <w:rPr>
          <w:lang w:bidi="en-GB"/>
        </w:rPr>
      </w:pPr>
      <w:r w:rsidRPr="00AE38CA">
        <w:rPr>
          <w:lang w:bidi="en-GB"/>
        </w:rPr>
        <w:t>training professional child</w:t>
      </w:r>
      <w:r w:rsidR="00322F7D" w:rsidRPr="00AE38CA">
        <w:rPr>
          <w:lang w:bidi="en-GB"/>
        </w:rPr>
        <w:t xml:space="preserve"> </w:t>
      </w:r>
      <w:r w:rsidRPr="00AE38CA">
        <w:rPr>
          <w:lang w:bidi="en-GB"/>
        </w:rPr>
        <w:t>care workers in promoting and creating healthy child care centres</w:t>
      </w:r>
      <w:r w:rsidR="00322F7D" w:rsidRPr="00AE38CA">
        <w:rPr>
          <w:lang w:bidi="en-GB"/>
        </w:rPr>
        <w:t>;</w:t>
      </w:r>
    </w:p>
    <w:p w14:paraId="0EA957CF" w14:textId="2F5FFDDD" w:rsidR="006842AB" w:rsidRPr="00AE38CA" w:rsidRDefault="006842AB" w:rsidP="001965B0">
      <w:pPr>
        <w:pStyle w:val="Plattetekst"/>
        <w:numPr>
          <w:ilvl w:val="0"/>
          <w:numId w:val="27"/>
        </w:numPr>
        <w:ind w:left="284" w:hanging="284"/>
        <w:rPr>
          <w:lang w:bidi="en-GB"/>
        </w:rPr>
      </w:pPr>
      <w:r w:rsidRPr="00AE38CA">
        <w:rPr>
          <w:lang w:bidi="en-GB"/>
        </w:rPr>
        <w:t>implementing new health practices for health workers (</w:t>
      </w:r>
      <w:r w:rsidR="00F63FE0" w:rsidRPr="00AE38CA">
        <w:rPr>
          <w:lang w:bidi="en-GB"/>
        </w:rPr>
        <w:t>e.g.</w:t>
      </w:r>
      <w:r w:rsidRPr="00AE38CA">
        <w:rPr>
          <w:lang w:bidi="en-GB"/>
        </w:rPr>
        <w:t xml:space="preserve"> </w:t>
      </w:r>
      <w:r w:rsidR="0019049D" w:rsidRPr="00AE38CA">
        <w:rPr>
          <w:lang w:bidi="en-GB"/>
        </w:rPr>
        <w:t>general practitioners</w:t>
      </w:r>
      <w:r w:rsidRPr="00AE38CA">
        <w:rPr>
          <w:lang w:bidi="en-GB"/>
        </w:rPr>
        <w:t xml:space="preserve"> and midwives) to more actively advise pregnant women to cease any alcohol consumption and smoking behaviour during pregnancy</w:t>
      </w:r>
      <w:r w:rsidR="00322F7D" w:rsidRPr="00AE38CA">
        <w:rPr>
          <w:lang w:bidi="en-GB"/>
        </w:rPr>
        <w:t>;</w:t>
      </w:r>
    </w:p>
    <w:p w14:paraId="119A48D0" w14:textId="77777777" w:rsidR="006842AB" w:rsidRPr="00AE38CA" w:rsidRDefault="006842AB" w:rsidP="001965B0">
      <w:pPr>
        <w:pStyle w:val="Plattetekst"/>
        <w:numPr>
          <w:ilvl w:val="0"/>
          <w:numId w:val="27"/>
        </w:numPr>
        <w:ind w:left="284" w:hanging="284"/>
        <w:rPr>
          <w:lang w:bidi="en-GB"/>
        </w:rPr>
      </w:pPr>
      <w:r w:rsidRPr="00AE38CA">
        <w:rPr>
          <w:lang w:bidi="en-GB"/>
        </w:rPr>
        <w:t xml:space="preserve">undertake research in preventing excessive food consumption among specific population groups and how to better reach these population groups for more effective interventions. </w:t>
      </w:r>
    </w:p>
    <w:p w14:paraId="66E81845" w14:textId="14502998" w:rsidR="006842AB" w:rsidRPr="00AE38CA" w:rsidRDefault="006842AB" w:rsidP="006842AB">
      <w:pPr>
        <w:pStyle w:val="Plattetekst"/>
        <w:rPr>
          <w:lang w:bidi="en-GB"/>
        </w:rPr>
      </w:pPr>
      <w:r w:rsidRPr="00AE38CA">
        <w:rPr>
          <w:lang w:bidi="en-GB"/>
        </w:rPr>
        <w:lastRenderedPageBreak/>
        <w:t>The Ministry of Health, Welfare and Sport</w:t>
      </w:r>
      <w:r w:rsidR="00E2325B" w:rsidRPr="00AE38CA">
        <w:rPr>
          <w:lang w:bidi="en-GB"/>
        </w:rPr>
        <w:t xml:space="preserve"> </w:t>
      </w:r>
      <w:r w:rsidRPr="00AE38CA">
        <w:rPr>
          <w:lang w:bidi="en-GB"/>
        </w:rPr>
        <w:t xml:space="preserve">will oversee and lead the implementation of the agreement. Monitoring and tracking activities will be </w:t>
      </w:r>
      <w:r w:rsidR="00660D81" w:rsidRPr="00AE38CA">
        <w:rPr>
          <w:lang w:bidi="en-GB"/>
        </w:rPr>
        <w:t xml:space="preserve">annually </w:t>
      </w:r>
      <w:r w:rsidRPr="00AE38CA">
        <w:rPr>
          <w:lang w:bidi="en-GB"/>
        </w:rPr>
        <w:t>conducted by the National Institute for Public Health and the Environment</w:t>
      </w:r>
      <w:r w:rsidR="00D47909" w:rsidRPr="00AE38CA">
        <w:rPr>
          <w:lang w:bidi="en-GB"/>
        </w:rPr>
        <w:t xml:space="preserve"> (</w:t>
      </w:r>
      <w:r w:rsidR="006755B7" w:rsidRPr="00AE38CA">
        <w:rPr>
          <w:lang w:bidi="en-GB"/>
        </w:rPr>
        <w:t>RIVM</w:t>
      </w:r>
      <w:r w:rsidR="00D47909" w:rsidRPr="00AE38CA">
        <w:rPr>
          <w:lang w:bidi="en-GB"/>
        </w:rPr>
        <w:t>, 2018)</w:t>
      </w:r>
      <w:r w:rsidR="0065614A" w:rsidRPr="00AE38CA">
        <w:rPr>
          <w:lang w:bidi="en-GB"/>
        </w:rPr>
        <w:t>.</w:t>
      </w:r>
    </w:p>
    <w:p w14:paraId="70F7FE8F" w14:textId="3C758F61" w:rsidR="006842AB" w:rsidRPr="00AE38CA" w:rsidRDefault="006842AB" w:rsidP="006842AB">
      <w:pPr>
        <w:pStyle w:val="Plattetekst"/>
        <w:rPr>
          <w:lang w:bidi="en-GB"/>
        </w:rPr>
      </w:pPr>
      <w:r w:rsidRPr="00AE38CA">
        <w:rPr>
          <w:lang w:bidi="en-GB"/>
        </w:rPr>
        <w:t xml:space="preserve">Another important policy development is the launch of the National Food Agenda </w:t>
      </w:r>
      <w:r w:rsidR="005363D6" w:rsidRPr="00AE38CA">
        <w:rPr>
          <w:lang w:bidi="en-GB"/>
        </w:rPr>
        <w:t>(</w:t>
      </w:r>
      <w:r w:rsidR="005363D6" w:rsidRPr="00AE38CA">
        <w:rPr>
          <w:i/>
          <w:lang w:bidi="en-GB"/>
        </w:rPr>
        <w:t>Voedselagenda</w:t>
      </w:r>
      <w:r w:rsidR="005363D6" w:rsidRPr="00AE38CA">
        <w:rPr>
          <w:lang w:bidi="en-GB"/>
        </w:rPr>
        <w:t xml:space="preserve">) </w:t>
      </w:r>
      <w:r w:rsidRPr="00AE38CA">
        <w:rPr>
          <w:lang w:bidi="en-GB"/>
        </w:rPr>
        <w:t xml:space="preserve">in 2015 in response to an increasing demand on the food industry by a growing population, coupled with increasing patterns </w:t>
      </w:r>
      <w:r w:rsidR="00447AF9" w:rsidRPr="00AE38CA">
        <w:rPr>
          <w:lang w:bidi="en-GB"/>
        </w:rPr>
        <w:t xml:space="preserve">of </w:t>
      </w:r>
      <w:r w:rsidRPr="00AE38CA">
        <w:rPr>
          <w:lang w:bidi="en-GB"/>
        </w:rPr>
        <w:t>unhealthy food intake and diet-related non-communicable diseases. With the</w:t>
      </w:r>
      <w:r w:rsidR="001E4F6B" w:rsidRPr="00AE38CA">
        <w:rPr>
          <w:lang w:bidi="en-GB"/>
        </w:rPr>
        <w:t xml:space="preserve"> Food</w:t>
      </w:r>
      <w:r w:rsidRPr="00AE38CA">
        <w:rPr>
          <w:lang w:bidi="en-GB"/>
        </w:rPr>
        <w:t xml:space="preserve"> </w:t>
      </w:r>
      <w:r w:rsidR="00311659" w:rsidRPr="00AE38CA">
        <w:rPr>
          <w:lang w:bidi="en-GB"/>
        </w:rPr>
        <w:t>A</w:t>
      </w:r>
      <w:r w:rsidRPr="00AE38CA">
        <w:rPr>
          <w:lang w:bidi="en-GB"/>
        </w:rPr>
        <w:t>genda, the Dutch government is committed to become a leading country in healthy and sustainable food policies and practices</w:t>
      </w:r>
      <w:r w:rsidR="000369FB" w:rsidRPr="00AE38CA">
        <w:rPr>
          <w:lang w:bidi="en-GB"/>
        </w:rPr>
        <w:t xml:space="preserve"> (</w:t>
      </w:r>
      <w:r w:rsidR="000369FB" w:rsidRPr="00AE38CA">
        <w:rPr>
          <w:szCs w:val="16"/>
        </w:rPr>
        <w:t>Ministry of Agriculture, Nature and Food Quality</w:t>
      </w:r>
      <w:r w:rsidR="004F13EF" w:rsidRPr="00AE38CA">
        <w:rPr>
          <w:szCs w:val="16"/>
        </w:rPr>
        <w:t>, 2016)</w:t>
      </w:r>
      <w:r w:rsidRPr="00AE38CA">
        <w:rPr>
          <w:lang w:bidi="en-GB"/>
        </w:rPr>
        <w:t xml:space="preserve">. The </w:t>
      </w:r>
      <w:r w:rsidR="001E4F6B" w:rsidRPr="00AE38CA">
        <w:rPr>
          <w:lang w:bidi="en-GB"/>
        </w:rPr>
        <w:t xml:space="preserve">Food </w:t>
      </w:r>
      <w:r w:rsidR="00311659" w:rsidRPr="00AE38CA">
        <w:rPr>
          <w:lang w:bidi="en-GB"/>
        </w:rPr>
        <w:t>A</w:t>
      </w:r>
      <w:r w:rsidRPr="00AE38CA">
        <w:rPr>
          <w:lang w:bidi="en-GB"/>
        </w:rPr>
        <w:t xml:space="preserve">genda comprises several focus areas, including implementing nutrition policies and practices for maintaining a healthier lifestyle. As part of this focus area, a national policy programme was launched in 2017 called </w:t>
      </w:r>
      <w:r w:rsidR="00966F33" w:rsidRPr="00AE38CA">
        <w:rPr>
          <w:lang w:bidi="en-GB"/>
        </w:rPr>
        <w:t xml:space="preserve">Learning to </w:t>
      </w:r>
      <w:r w:rsidR="006542E1" w:rsidRPr="00AE38CA">
        <w:rPr>
          <w:lang w:bidi="en-GB"/>
        </w:rPr>
        <w:t>e</w:t>
      </w:r>
      <w:r w:rsidR="00966F33" w:rsidRPr="00AE38CA">
        <w:rPr>
          <w:lang w:bidi="en-GB"/>
        </w:rPr>
        <w:t xml:space="preserve">at at a young age </w:t>
      </w:r>
      <w:r w:rsidR="006542E1" w:rsidRPr="00AE38CA">
        <w:rPr>
          <w:lang w:bidi="en-GB"/>
        </w:rPr>
        <w:t>(</w:t>
      </w:r>
      <w:r w:rsidR="00E5269A" w:rsidRPr="00AE38CA">
        <w:rPr>
          <w:i/>
          <w:lang w:bidi="en-GB"/>
        </w:rPr>
        <w:t>Jong Leren Eten</w:t>
      </w:r>
      <w:r w:rsidR="006542E1" w:rsidRPr="00AE38CA">
        <w:rPr>
          <w:lang w:bidi="en-GB"/>
        </w:rPr>
        <w:t>)</w:t>
      </w:r>
      <w:r w:rsidRPr="00AE38CA">
        <w:rPr>
          <w:lang w:bidi="en-GB"/>
        </w:rPr>
        <w:t>, a joint effort by the Dutch Ministry of Economic Affairs and the Ministry of Health, Welfare and Sport</w:t>
      </w:r>
      <w:r w:rsidR="00293953" w:rsidRPr="00AE38CA">
        <w:rPr>
          <w:lang w:bidi="en-GB"/>
        </w:rPr>
        <w:t xml:space="preserve"> (VWS)</w:t>
      </w:r>
      <w:r w:rsidRPr="00AE38CA">
        <w:rPr>
          <w:lang w:bidi="en-GB"/>
        </w:rPr>
        <w:t xml:space="preserve">. The programme acknowledges the variety in nutrition programmes for children in the Netherlands and aims to bring together all these programmes for a more focused, integral, and effective national approach. Ultimately, the programme aims to adopt food education as an embedded and structural element in all school policies. The programme is expected to end by 2020. </w:t>
      </w:r>
    </w:p>
    <w:p w14:paraId="74ED9893" w14:textId="454E67ED" w:rsidR="006842AB" w:rsidRPr="00AE38CA" w:rsidRDefault="006842AB" w:rsidP="006842AB">
      <w:pPr>
        <w:pStyle w:val="Plattetekst"/>
        <w:rPr>
          <w:lang w:bidi="en-GB"/>
        </w:rPr>
      </w:pPr>
      <w:r w:rsidRPr="00AE38CA">
        <w:rPr>
          <w:lang w:bidi="en-GB"/>
        </w:rPr>
        <w:t>Another key policy is a monitoring policy that has been embedded in the Dutch health care system for decades. The child health care system offers subsidi</w:t>
      </w:r>
      <w:r w:rsidR="003657A3" w:rsidRPr="00AE38CA">
        <w:rPr>
          <w:lang w:bidi="en-GB"/>
        </w:rPr>
        <w:t>s</w:t>
      </w:r>
      <w:r w:rsidRPr="00AE38CA">
        <w:rPr>
          <w:lang w:bidi="en-GB"/>
        </w:rPr>
        <w:t xml:space="preserve">ed periodic health checks to </w:t>
      </w:r>
      <w:r w:rsidR="009C77BE" w:rsidRPr="00AE38CA">
        <w:rPr>
          <w:lang w:bidi="en-GB"/>
        </w:rPr>
        <w:t xml:space="preserve">pregnant women, </w:t>
      </w:r>
      <w:r w:rsidRPr="00AE38CA">
        <w:rPr>
          <w:lang w:bidi="en-GB"/>
        </w:rPr>
        <w:t xml:space="preserve">young infants and toddlers (from the age of 0 to nearly four years old) to monitor </w:t>
      </w:r>
      <w:r w:rsidR="009C77BE" w:rsidRPr="00AE38CA">
        <w:rPr>
          <w:lang w:bidi="en-GB"/>
        </w:rPr>
        <w:t>their</w:t>
      </w:r>
      <w:r w:rsidRPr="00AE38CA">
        <w:rPr>
          <w:lang w:bidi="en-GB"/>
        </w:rPr>
        <w:t xml:space="preserve"> overall health, including their food </w:t>
      </w:r>
      <w:r w:rsidR="009C77BE" w:rsidRPr="00AE38CA">
        <w:rPr>
          <w:lang w:bidi="en-GB"/>
        </w:rPr>
        <w:t xml:space="preserve">and vitamins </w:t>
      </w:r>
      <w:r w:rsidRPr="00AE38CA">
        <w:rPr>
          <w:lang w:bidi="en-GB"/>
        </w:rPr>
        <w:t>intake</w:t>
      </w:r>
      <w:r w:rsidR="004F134E" w:rsidRPr="00AE38CA">
        <w:rPr>
          <w:lang w:bidi="en-GB"/>
        </w:rPr>
        <w:t xml:space="preserve"> (GGD HN, n.d.)</w:t>
      </w:r>
      <w:r w:rsidRPr="00AE38CA">
        <w:rPr>
          <w:lang w:bidi="en-GB"/>
        </w:rPr>
        <w:t xml:space="preserve">. Consultations are free of charge. However, the consultations are </w:t>
      </w:r>
      <w:r w:rsidR="009610A3" w:rsidRPr="00AE38CA">
        <w:rPr>
          <w:lang w:bidi="en-GB"/>
        </w:rPr>
        <w:t xml:space="preserve">attended </w:t>
      </w:r>
      <w:r w:rsidRPr="00AE38CA">
        <w:rPr>
          <w:lang w:bidi="en-GB"/>
        </w:rPr>
        <w:t xml:space="preserve">on a voluntarily basis </w:t>
      </w:r>
      <w:r w:rsidR="00430680" w:rsidRPr="00AE38CA">
        <w:rPr>
          <w:lang w:bidi="en-GB"/>
        </w:rPr>
        <w:t xml:space="preserve">by </w:t>
      </w:r>
      <w:r w:rsidRPr="00AE38CA">
        <w:rPr>
          <w:lang w:bidi="en-GB"/>
        </w:rPr>
        <w:t xml:space="preserve">parents and their children. </w:t>
      </w:r>
    </w:p>
    <w:p w14:paraId="544B3781" w14:textId="3C235DDF" w:rsidR="006842AB" w:rsidRPr="00AE38CA" w:rsidRDefault="006842AB" w:rsidP="006842AB">
      <w:pPr>
        <w:pStyle w:val="Plattetekst"/>
        <w:rPr>
          <w:lang w:bidi="en-GB"/>
        </w:rPr>
      </w:pPr>
      <w:r w:rsidRPr="00AE38CA">
        <w:rPr>
          <w:lang w:bidi="en-GB"/>
        </w:rPr>
        <w:t xml:space="preserve">In addition to health monitoring, the National Institute of </w:t>
      </w:r>
      <w:r w:rsidR="00F51359" w:rsidRPr="00AE38CA">
        <w:rPr>
          <w:lang w:bidi="en-GB"/>
        </w:rPr>
        <w:t xml:space="preserve">Public </w:t>
      </w:r>
      <w:r w:rsidRPr="00AE38CA">
        <w:rPr>
          <w:lang w:bidi="en-GB"/>
        </w:rPr>
        <w:t xml:space="preserve">Health and Environment </w:t>
      </w:r>
      <w:r w:rsidR="00D21CE9" w:rsidRPr="00AE38CA">
        <w:rPr>
          <w:lang w:bidi="en-GB"/>
        </w:rPr>
        <w:t xml:space="preserve">(RIVM) </w:t>
      </w:r>
      <w:r w:rsidR="0050349F" w:rsidRPr="00AE38CA">
        <w:rPr>
          <w:lang w:bidi="en-GB"/>
        </w:rPr>
        <w:t>carries out</w:t>
      </w:r>
      <w:r w:rsidRPr="00AE38CA">
        <w:rPr>
          <w:lang w:bidi="en-GB"/>
        </w:rPr>
        <w:t xml:space="preserve"> various public health monitors, such as longitudinal nutrition monitors for tracking the food intake and associated health outcomes among children and youth, including children from vulnerable population groups</w:t>
      </w:r>
      <w:r w:rsidR="0088378A" w:rsidRPr="00AE38CA">
        <w:rPr>
          <w:lang w:bidi="en-GB"/>
        </w:rPr>
        <w:t xml:space="preserve"> (RIVM, 2018)</w:t>
      </w:r>
      <w:r w:rsidRPr="00AE38CA">
        <w:rPr>
          <w:lang w:bidi="en-GB"/>
        </w:rPr>
        <w:t>. These monitors also provide an understanding of current inadequate nutrition patterns, which over the past decade increasingly emphasised a growing trend in the prevalence of overweight, obesity and diet-related non-communicable diseases in the Netherlands</w:t>
      </w:r>
      <w:r w:rsidR="003D0082" w:rsidRPr="00AE38CA">
        <w:rPr>
          <w:lang w:bidi="en-GB"/>
        </w:rPr>
        <w:t xml:space="preserve"> (van D</w:t>
      </w:r>
      <w:r w:rsidR="005F496D" w:rsidRPr="00AE38CA">
        <w:rPr>
          <w:lang w:bidi="en-GB"/>
        </w:rPr>
        <w:t xml:space="preserve">am &amp; Schippers, </w:t>
      </w:r>
      <w:r w:rsidR="007B71D4" w:rsidRPr="00AE38CA">
        <w:rPr>
          <w:lang w:bidi="en-GB"/>
        </w:rPr>
        <w:t>2016 and Boer</w:t>
      </w:r>
      <w:r w:rsidR="007E0ACE" w:rsidRPr="00AE38CA">
        <w:rPr>
          <w:lang w:bidi="en-GB"/>
        </w:rPr>
        <w:t xml:space="preserve"> et al.</w:t>
      </w:r>
      <w:r w:rsidR="0068557F" w:rsidRPr="00AE38CA">
        <w:rPr>
          <w:lang w:bidi="en-GB"/>
        </w:rPr>
        <w:t xml:space="preserve">, </w:t>
      </w:r>
      <w:r w:rsidR="00C75D1D" w:rsidRPr="00AE38CA">
        <w:rPr>
          <w:lang w:bidi="en-GB"/>
        </w:rPr>
        <w:t>2016)</w:t>
      </w:r>
      <w:r w:rsidRPr="00AE38CA">
        <w:rPr>
          <w:lang w:bidi="en-GB"/>
        </w:rPr>
        <w:t>.</w:t>
      </w:r>
    </w:p>
    <w:p w14:paraId="649D35D7" w14:textId="77777777" w:rsidR="006842AB" w:rsidRPr="00AE38CA" w:rsidRDefault="006842AB" w:rsidP="006842AB">
      <w:pPr>
        <w:pStyle w:val="Plattetekst"/>
        <w:rPr>
          <w:b/>
          <w:lang w:bidi="en-GB"/>
        </w:rPr>
      </w:pPr>
      <w:r w:rsidRPr="00AE38CA">
        <w:rPr>
          <w:b/>
          <w:lang w:bidi="en-GB"/>
        </w:rPr>
        <w:t xml:space="preserve">Current national programmes for a wide audience </w:t>
      </w:r>
    </w:p>
    <w:p w14:paraId="7E275B1C" w14:textId="77777777" w:rsidR="006842AB" w:rsidRPr="00AE38CA" w:rsidRDefault="006842AB" w:rsidP="006842AB">
      <w:pPr>
        <w:pStyle w:val="Plattetekst"/>
        <w:rPr>
          <w:lang w:bidi="en-GB"/>
        </w:rPr>
      </w:pPr>
      <w:r w:rsidRPr="00AE38CA">
        <w:rPr>
          <w:lang w:bidi="en-GB"/>
        </w:rPr>
        <w:t xml:space="preserve">In light of the above policies, the Dutch government has also implemented several national programmes to enhance and improve practices in relation to healthy nutrition. In line with the national policies, nearly all national programmes focus on a wide audience, without targeting the target groups as specified for the FSCG. </w:t>
      </w:r>
    </w:p>
    <w:p w14:paraId="46DF317D" w14:textId="639B4463" w:rsidR="006842AB" w:rsidRPr="00AE38CA" w:rsidRDefault="006842AB" w:rsidP="00262DAD">
      <w:pPr>
        <w:pStyle w:val="Plattetekst"/>
        <w:rPr>
          <w:lang w:bidi="en-GB"/>
        </w:rPr>
      </w:pPr>
      <w:r w:rsidRPr="00AE38CA">
        <w:rPr>
          <w:lang w:bidi="en-GB"/>
        </w:rPr>
        <w:t xml:space="preserve">When looking at specific programmes that </w:t>
      </w:r>
      <w:r w:rsidR="0019049D" w:rsidRPr="00AE38CA">
        <w:rPr>
          <w:lang w:bidi="en-GB"/>
        </w:rPr>
        <w:t>support</w:t>
      </w:r>
      <w:r w:rsidRPr="00AE38CA">
        <w:rPr>
          <w:lang w:bidi="en-GB"/>
        </w:rPr>
        <w:t xml:space="preserve"> vulnerable population groups in affording and accessing food, three main measures can be </w:t>
      </w:r>
      <w:r w:rsidR="00D42612" w:rsidRPr="00AE38CA">
        <w:rPr>
          <w:lang w:bidi="en-GB"/>
        </w:rPr>
        <w:t>observed</w:t>
      </w:r>
      <w:r w:rsidRPr="00AE38CA">
        <w:rPr>
          <w:lang w:bidi="en-GB"/>
        </w:rPr>
        <w:t xml:space="preserve">. </w:t>
      </w:r>
      <w:r w:rsidR="00BB3A96" w:rsidRPr="00AE38CA">
        <w:rPr>
          <w:lang w:bidi="en-GB"/>
        </w:rPr>
        <w:t>Firstly, t</w:t>
      </w:r>
      <w:r w:rsidRPr="00AE38CA">
        <w:rPr>
          <w:lang w:bidi="en-GB"/>
        </w:rPr>
        <w:t xml:space="preserve">he Participation Act serves as the </w:t>
      </w:r>
      <w:r w:rsidR="00D42612" w:rsidRPr="00AE38CA">
        <w:rPr>
          <w:lang w:bidi="en-GB"/>
        </w:rPr>
        <w:t>–</w:t>
      </w:r>
      <w:r w:rsidRPr="00AE38CA">
        <w:rPr>
          <w:lang w:bidi="en-GB"/>
        </w:rPr>
        <w:t xml:space="preserve"> means-tested </w:t>
      </w:r>
      <w:r w:rsidR="00BB3A96" w:rsidRPr="00AE38CA">
        <w:rPr>
          <w:lang w:bidi="en-GB"/>
        </w:rPr>
        <w:t>–</w:t>
      </w:r>
      <w:r w:rsidRPr="00AE38CA">
        <w:rPr>
          <w:lang w:bidi="en-GB"/>
        </w:rPr>
        <w:t xml:space="preserve"> Dutch safety net. It provides a minimum income to anyone legally residing in the Netherlands who has insufficient means to cover the basic costs of living. Secondly, the government provides monetary support to households through child benefit support. The aim of this benefit is to support parents in covering the expenses of raising a child up to the age of 18 years</w:t>
      </w:r>
      <w:r w:rsidR="00755DD9" w:rsidRPr="00AE38CA">
        <w:rPr>
          <w:lang w:bidi="en-GB"/>
        </w:rPr>
        <w:t xml:space="preserve"> (SVB, n.d.)</w:t>
      </w:r>
      <w:r w:rsidRPr="00AE38CA">
        <w:rPr>
          <w:lang w:bidi="en-GB"/>
        </w:rPr>
        <w:t xml:space="preserve">. Parents caring for a child with disability can apply for extra financial support. Thirdly, low income households can access in-kind support through </w:t>
      </w:r>
      <w:r w:rsidR="00B4287C" w:rsidRPr="00AE38CA">
        <w:rPr>
          <w:lang w:bidi="en-GB"/>
        </w:rPr>
        <w:t>f</w:t>
      </w:r>
      <w:r w:rsidRPr="00AE38CA">
        <w:rPr>
          <w:lang w:bidi="en-GB"/>
        </w:rPr>
        <w:t xml:space="preserve">ood </w:t>
      </w:r>
      <w:r w:rsidR="008B4F52" w:rsidRPr="00AE38CA">
        <w:rPr>
          <w:lang w:bidi="en-GB"/>
        </w:rPr>
        <w:t>b</w:t>
      </w:r>
      <w:r w:rsidRPr="00AE38CA">
        <w:rPr>
          <w:lang w:bidi="en-GB"/>
        </w:rPr>
        <w:t>anks by receiving free food packages on a weekly basis. Food banks are private organi</w:t>
      </w:r>
      <w:r w:rsidR="001744B7" w:rsidRPr="00AE38CA">
        <w:rPr>
          <w:lang w:bidi="en-GB"/>
        </w:rPr>
        <w:t>s</w:t>
      </w:r>
      <w:r w:rsidRPr="00AE38CA">
        <w:rPr>
          <w:lang w:bidi="en-GB"/>
        </w:rPr>
        <w:t xml:space="preserve">ations; they have a strong presence in the Netherlands by being </w:t>
      </w:r>
      <w:r w:rsidR="00F51359" w:rsidRPr="00AE38CA">
        <w:rPr>
          <w:lang w:bidi="en-GB"/>
        </w:rPr>
        <w:t>located in</w:t>
      </w:r>
      <w:r w:rsidRPr="00AE38CA">
        <w:rPr>
          <w:lang w:bidi="en-GB"/>
        </w:rPr>
        <w:t xml:space="preserve"> 96% of all municipalities</w:t>
      </w:r>
      <w:r w:rsidR="00C00DDF" w:rsidRPr="00AE38CA">
        <w:rPr>
          <w:lang w:bidi="en-GB"/>
        </w:rPr>
        <w:t xml:space="preserve"> (</w:t>
      </w:r>
      <w:r w:rsidR="00A36A24" w:rsidRPr="00AE38CA">
        <w:rPr>
          <w:lang w:bidi="en-GB"/>
        </w:rPr>
        <w:t xml:space="preserve">Vereniging van Nederlandse </w:t>
      </w:r>
      <w:r w:rsidR="005F2BE8" w:rsidRPr="00AE38CA">
        <w:rPr>
          <w:lang w:bidi="en-GB"/>
        </w:rPr>
        <w:t>Voedselbanken, 2018)</w:t>
      </w:r>
      <w:r w:rsidRPr="00AE38CA">
        <w:rPr>
          <w:lang w:bidi="en-GB"/>
        </w:rPr>
        <w:t>. The National Association of Food Banks aims to follow in its food policies the national nutrition</w:t>
      </w:r>
      <w:r w:rsidR="00B32B21" w:rsidRPr="00AE38CA">
        <w:rPr>
          <w:lang w:bidi="en-GB"/>
        </w:rPr>
        <w:t>al</w:t>
      </w:r>
      <w:r w:rsidRPr="00AE38CA">
        <w:rPr>
          <w:lang w:bidi="en-GB"/>
        </w:rPr>
        <w:t xml:space="preserve"> guidelines as recommended by the Netherlands Nutrition Centre</w:t>
      </w:r>
      <w:r w:rsidR="00BB3A96" w:rsidRPr="00AE38CA">
        <w:rPr>
          <w:lang w:bidi="en-GB"/>
        </w:rPr>
        <w:t xml:space="preserve"> (</w:t>
      </w:r>
      <w:r w:rsidR="00BB3A96" w:rsidRPr="00AE38CA">
        <w:rPr>
          <w:i/>
          <w:lang w:bidi="en-GB"/>
        </w:rPr>
        <w:t>Stichting Voedingscentrum Nederland</w:t>
      </w:r>
      <w:r w:rsidR="00BB3A96" w:rsidRPr="00AE38CA">
        <w:rPr>
          <w:lang w:bidi="en-GB"/>
        </w:rPr>
        <w:t>)</w:t>
      </w:r>
      <w:r w:rsidRPr="00AE38CA">
        <w:rPr>
          <w:lang w:bidi="en-GB"/>
        </w:rPr>
        <w:t xml:space="preserve">. </w:t>
      </w:r>
      <w:r w:rsidR="00954A7E" w:rsidRPr="00AE38CA">
        <w:rPr>
          <w:lang w:bidi="en-GB"/>
        </w:rPr>
        <w:t xml:space="preserve">However, </w:t>
      </w:r>
      <w:r w:rsidR="000447B4" w:rsidRPr="00AE38CA">
        <w:rPr>
          <w:lang w:bidi="en-GB"/>
        </w:rPr>
        <w:t xml:space="preserve">an interviewed stakeholder noted that </w:t>
      </w:r>
      <w:r w:rsidR="0047303D" w:rsidRPr="00AE38CA">
        <w:rPr>
          <w:lang w:bidi="en-GB"/>
        </w:rPr>
        <w:t xml:space="preserve">food banks </w:t>
      </w:r>
      <w:r w:rsidR="006E1BB7" w:rsidRPr="00AE38CA">
        <w:rPr>
          <w:lang w:bidi="en-GB"/>
        </w:rPr>
        <w:t>i</w:t>
      </w:r>
      <w:r w:rsidR="0047303D" w:rsidRPr="00AE38CA">
        <w:rPr>
          <w:lang w:bidi="en-GB"/>
        </w:rPr>
        <w:t xml:space="preserve">n general do not </w:t>
      </w:r>
      <w:r w:rsidR="00204599" w:rsidRPr="00AE38CA">
        <w:rPr>
          <w:lang w:bidi="en-GB"/>
        </w:rPr>
        <w:t>consider special dietary</w:t>
      </w:r>
      <w:r w:rsidR="008C17A6" w:rsidRPr="00AE38CA">
        <w:rPr>
          <w:lang w:bidi="en-GB"/>
        </w:rPr>
        <w:t xml:space="preserve"> requests</w:t>
      </w:r>
      <w:r w:rsidR="00BD5454" w:rsidRPr="00AE38CA">
        <w:rPr>
          <w:lang w:bidi="en-GB"/>
        </w:rPr>
        <w:t xml:space="preserve"> in their food</w:t>
      </w:r>
      <w:r w:rsidR="008C17A6" w:rsidRPr="00AE38CA">
        <w:rPr>
          <w:lang w:bidi="en-GB"/>
        </w:rPr>
        <w:t xml:space="preserve"> </w:t>
      </w:r>
      <w:r w:rsidR="00BD5454" w:rsidRPr="00AE38CA">
        <w:rPr>
          <w:lang w:bidi="en-GB"/>
        </w:rPr>
        <w:t>pack</w:t>
      </w:r>
      <w:r w:rsidR="008C17A6" w:rsidRPr="00AE38CA">
        <w:rPr>
          <w:lang w:bidi="en-GB"/>
        </w:rPr>
        <w:t>ages, meaning that the ne</w:t>
      </w:r>
      <w:r w:rsidR="00204599" w:rsidRPr="00AE38CA">
        <w:rPr>
          <w:lang w:bidi="en-GB"/>
        </w:rPr>
        <w:t>eds</w:t>
      </w:r>
      <w:r w:rsidR="006E1BB7" w:rsidRPr="00AE38CA">
        <w:rPr>
          <w:lang w:bidi="en-GB"/>
        </w:rPr>
        <w:t xml:space="preserve"> </w:t>
      </w:r>
      <w:r w:rsidR="008C17A6" w:rsidRPr="00AE38CA">
        <w:rPr>
          <w:lang w:bidi="en-GB"/>
        </w:rPr>
        <w:t xml:space="preserve">of </w:t>
      </w:r>
      <w:r w:rsidR="006E1BB7" w:rsidRPr="00AE38CA">
        <w:rPr>
          <w:lang w:bidi="en-GB"/>
        </w:rPr>
        <w:t>children</w:t>
      </w:r>
      <w:r w:rsidR="008C17A6" w:rsidRPr="00AE38CA">
        <w:rPr>
          <w:lang w:bidi="en-GB"/>
        </w:rPr>
        <w:t xml:space="preserve"> with food allergies or </w:t>
      </w:r>
      <w:r w:rsidR="00E14104" w:rsidRPr="00AE38CA">
        <w:rPr>
          <w:lang w:bidi="en-GB"/>
        </w:rPr>
        <w:t>food intolerances</w:t>
      </w:r>
      <w:r w:rsidR="008C17A6" w:rsidRPr="00AE38CA">
        <w:rPr>
          <w:lang w:bidi="en-GB"/>
        </w:rPr>
        <w:t xml:space="preserve"> are not being met. </w:t>
      </w:r>
    </w:p>
    <w:p w14:paraId="7B7A6D09" w14:textId="77777777" w:rsidR="006842AB" w:rsidRPr="00AE38CA" w:rsidRDefault="006842AB" w:rsidP="006842AB">
      <w:pPr>
        <w:pStyle w:val="Plattetekst"/>
        <w:rPr>
          <w:lang w:bidi="en-GB"/>
        </w:rPr>
      </w:pPr>
      <w:r w:rsidRPr="00AE38CA">
        <w:rPr>
          <w:lang w:bidi="en-GB"/>
        </w:rPr>
        <w:lastRenderedPageBreak/>
        <w:t xml:space="preserve">Other programmes aimed at accessing adequate nutrition for children primarily involve education programmes to promote better and more adequate food choices. More specifically, the identified main programmes aim to: </w:t>
      </w:r>
    </w:p>
    <w:p w14:paraId="22B5F04D" w14:textId="73B777F4" w:rsidR="006842AB" w:rsidRPr="00AE38CA" w:rsidRDefault="006842AB" w:rsidP="001965B0">
      <w:pPr>
        <w:pStyle w:val="Plattetekst"/>
        <w:numPr>
          <w:ilvl w:val="0"/>
          <w:numId w:val="25"/>
        </w:numPr>
        <w:ind w:left="284" w:hanging="284"/>
        <w:rPr>
          <w:lang w:bidi="en-GB"/>
        </w:rPr>
      </w:pPr>
      <w:r w:rsidRPr="00AE38CA">
        <w:rPr>
          <w:lang w:bidi="en-GB"/>
        </w:rPr>
        <w:t>inform and educate children on healthy nutrition and lifestyle choices, rather than providing in-kind support (</w:t>
      </w:r>
      <w:r w:rsidR="0019049D" w:rsidRPr="00AE38CA">
        <w:rPr>
          <w:lang w:bidi="en-GB"/>
        </w:rPr>
        <w:t>e.g</w:t>
      </w:r>
      <w:r w:rsidRPr="00AE38CA">
        <w:rPr>
          <w:lang w:bidi="en-GB"/>
        </w:rPr>
        <w:t>. providing food)</w:t>
      </w:r>
      <w:r w:rsidR="000A391A" w:rsidRPr="00AE38CA">
        <w:rPr>
          <w:lang w:bidi="en-GB"/>
        </w:rPr>
        <w:t>;</w:t>
      </w:r>
    </w:p>
    <w:p w14:paraId="38D08188" w14:textId="6081AEB2" w:rsidR="006842AB" w:rsidRPr="00AE38CA" w:rsidRDefault="006842AB" w:rsidP="001965B0">
      <w:pPr>
        <w:pStyle w:val="Plattetekst"/>
        <w:numPr>
          <w:ilvl w:val="0"/>
          <w:numId w:val="25"/>
        </w:numPr>
        <w:ind w:left="284" w:hanging="284"/>
        <w:rPr>
          <w:lang w:bidi="en-GB"/>
        </w:rPr>
      </w:pPr>
      <w:r w:rsidRPr="00AE38CA">
        <w:rPr>
          <w:lang w:bidi="en-GB"/>
        </w:rPr>
        <w:t>target children in a school environment</w:t>
      </w:r>
      <w:r w:rsidR="000A391A" w:rsidRPr="00AE38CA">
        <w:rPr>
          <w:lang w:bidi="en-GB"/>
        </w:rPr>
        <w:t>;</w:t>
      </w:r>
    </w:p>
    <w:p w14:paraId="320603CB" w14:textId="4EE14652" w:rsidR="006842AB" w:rsidRPr="00AE38CA" w:rsidRDefault="006842AB" w:rsidP="001965B0">
      <w:pPr>
        <w:pStyle w:val="Plattetekst"/>
        <w:numPr>
          <w:ilvl w:val="0"/>
          <w:numId w:val="25"/>
        </w:numPr>
        <w:ind w:left="284" w:hanging="284"/>
        <w:rPr>
          <w:lang w:bidi="en-GB"/>
        </w:rPr>
      </w:pPr>
      <w:r w:rsidRPr="00AE38CA">
        <w:rPr>
          <w:lang w:bidi="en-GB"/>
        </w:rPr>
        <w:t>follow an integral approach through interventions specifically focused at the child as well as the child’s social and physical environment (</w:t>
      </w:r>
      <w:r w:rsidR="00F63FE0" w:rsidRPr="00AE38CA">
        <w:rPr>
          <w:lang w:bidi="en-GB"/>
        </w:rPr>
        <w:t>e.g.</w:t>
      </w:r>
      <w:r w:rsidRPr="00AE38CA">
        <w:rPr>
          <w:lang w:bidi="en-GB"/>
        </w:rPr>
        <w:t xml:space="preserve"> parents and school canteens)</w:t>
      </w:r>
      <w:r w:rsidR="000A391A" w:rsidRPr="00AE38CA">
        <w:rPr>
          <w:lang w:bidi="en-GB"/>
        </w:rPr>
        <w:t>;</w:t>
      </w:r>
    </w:p>
    <w:p w14:paraId="2BCC3DDE" w14:textId="2C6AE9BE" w:rsidR="006842AB" w:rsidRPr="00AE38CA" w:rsidRDefault="006842AB" w:rsidP="001965B0">
      <w:pPr>
        <w:pStyle w:val="Plattetekst"/>
        <w:numPr>
          <w:ilvl w:val="0"/>
          <w:numId w:val="25"/>
        </w:numPr>
        <w:ind w:left="284" w:hanging="284"/>
        <w:rPr>
          <w:lang w:bidi="en-GB"/>
        </w:rPr>
      </w:pPr>
      <w:r w:rsidRPr="00AE38CA">
        <w:rPr>
          <w:lang w:bidi="en-GB"/>
        </w:rPr>
        <w:t>place the emphasis on combating overweight and obesity through healthier food choices</w:t>
      </w:r>
      <w:r w:rsidR="000A391A" w:rsidRPr="00AE38CA">
        <w:rPr>
          <w:lang w:bidi="en-GB"/>
        </w:rPr>
        <w:t>;</w:t>
      </w:r>
    </w:p>
    <w:p w14:paraId="68E9C765" w14:textId="4EB3ED34" w:rsidR="006842AB" w:rsidRPr="00AE38CA" w:rsidRDefault="006842AB" w:rsidP="001965B0">
      <w:pPr>
        <w:pStyle w:val="Plattetekst"/>
        <w:numPr>
          <w:ilvl w:val="0"/>
          <w:numId w:val="25"/>
        </w:numPr>
        <w:ind w:left="284" w:hanging="284"/>
        <w:rPr>
          <w:lang w:bidi="en-GB"/>
        </w:rPr>
      </w:pPr>
      <w:r w:rsidRPr="00AE38CA">
        <w:rPr>
          <w:lang w:bidi="en-GB"/>
        </w:rPr>
        <w:t>indirectly also combat micronutrient-related malnutrition through the promotion of healthier food choice</w:t>
      </w:r>
      <w:r w:rsidR="000A391A" w:rsidRPr="00AE38CA">
        <w:rPr>
          <w:lang w:bidi="en-GB"/>
        </w:rPr>
        <w:t>s</w:t>
      </w:r>
      <w:r w:rsidRPr="00AE38CA">
        <w:rPr>
          <w:lang w:bidi="en-GB"/>
        </w:rPr>
        <w:t>.</w:t>
      </w:r>
    </w:p>
    <w:p w14:paraId="0DBE6BFA" w14:textId="62585FEB" w:rsidR="006842AB" w:rsidRPr="00AE38CA" w:rsidRDefault="006842AB" w:rsidP="006842AB">
      <w:pPr>
        <w:pStyle w:val="Plattetekst"/>
        <w:rPr>
          <w:b/>
          <w:lang w:bidi="en-GB"/>
        </w:rPr>
      </w:pPr>
      <w:r w:rsidRPr="00AE38CA">
        <w:rPr>
          <w:b/>
          <w:lang w:bidi="en-GB"/>
        </w:rPr>
        <w:t>Programmes for specific target groups</w:t>
      </w:r>
    </w:p>
    <w:p w14:paraId="5D41077F" w14:textId="61FE4FFA" w:rsidR="006842AB" w:rsidRPr="00AE38CA" w:rsidRDefault="006842AB" w:rsidP="006842AB">
      <w:pPr>
        <w:pStyle w:val="Plattetekst"/>
        <w:rPr>
          <w:lang w:bidi="en-GB"/>
        </w:rPr>
      </w:pPr>
      <w:r w:rsidRPr="00AE38CA">
        <w:rPr>
          <w:lang w:bidi="en-GB"/>
        </w:rPr>
        <w:t>At the time of writing, most national programmes or initiatives do not specifically target the target groups as specified for the FSCG. Only one national programme, the Healthy School programme, prioritises in its funding approach schools located in areas with high numbers of low-SES households and secondary schools for children with special education needs. However, at local level, a handful of nutrition programmes (endorsed by the Ministry of Health</w:t>
      </w:r>
      <w:r w:rsidR="00E947BA" w:rsidRPr="00AE38CA">
        <w:rPr>
          <w:lang w:bidi="en-GB"/>
        </w:rPr>
        <w:t>,</w:t>
      </w:r>
      <w:r w:rsidRPr="00AE38CA">
        <w:rPr>
          <w:lang w:bidi="en-GB"/>
        </w:rPr>
        <w:t xml:space="preserve"> Welfare</w:t>
      </w:r>
      <w:r w:rsidR="00E947BA" w:rsidRPr="00AE38CA">
        <w:rPr>
          <w:lang w:bidi="en-GB"/>
        </w:rPr>
        <w:t xml:space="preserve"> and Sport</w:t>
      </w:r>
      <w:r w:rsidRPr="00AE38CA">
        <w:rPr>
          <w:lang w:bidi="en-GB"/>
        </w:rPr>
        <w:t xml:space="preserve">) specifically </w:t>
      </w:r>
      <w:r w:rsidR="001A6896" w:rsidRPr="00AE38CA">
        <w:rPr>
          <w:lang w:bidi="en-GB"/>
        </w:rPr>
        <w:t xml:space="preserve">target </w:t>
      </w:r>
      <w:r w:rsidRPr="00AE38CA">
        <w:rPr>
          <w:lang w:bidi="en-GB"/>
        </w:rPr>
        <w:t xml:space="preserve">children from low-SES households and children </w:t>
      </w:r>
      <w:r w:rsidR="001A6896" w:rsidRPr="00AE38CA">
        <w:rPr>
          <w:lang w:bidi="en-GB"/>
        </w:rPr>
        <w:t xml:space="preserve">from </w:t>
      </w:r>
      <w:r w:rsidRPr="00AE38CA">
        <w:rPr>
          <w:lang w:bidi="en-GB"/>
        </w:rPr>
        <w:t xml:space="preserve">a non-EU migrant background, with the latter group mostly comprising children </w:t>
      </w:r>
      <w:r w:rsidR="001A6896" w:rsidRPr="00AE38CA">
        <w:rPr>
          <w:lang w:bidi="en-GB"/>
        </w:rPr>
        <w:t xml:space="preserve">of </w:t>
      </w:r>
      <w:r w:rsidRPr="00AE38CA">
        <w:rPr>
          <w:lang w:bidi="en-GB"/>
        </w:rPr>
        <w:t>Turkish or Moroccan descent</w:t>
      </w:r>
      <w:r w:rsidR="00F83E51" w:rsidRPr="00AE38CA">
        <w:rPr>
          <w:lang w:bidi="en-GB"/>
        </w:rPr>
        <w:t xml:space="preserve"> (RIVM, n.d.)</w:t>
      </w:r>
      <w:r w:rsidRPr="00AE38CA">
        <w:rPr>
          <w:lang w:bidi="en-GB"/>
        </w:rPr>
        <w:t xml:space="preserve">. These programmes are primarily focused on combating overweight or obesity and are mainly offered through local schools and local community health centres. </w:t>
      </w:r>
    </w:p>
    <w:p w14:paraId="26DC082C" w14:textId="2B1F9789" w:rsidR="006842AB" w:rsidRPr="00AE38CA" w:rsidRDefault="00074151" w:rsidP="006842AB">
      <w:pPr>
        <w:pStyle w:val="Plattetekst"/>
        <w:rPr>
          <w:b/>
          <w:lang w:bidi="en-GB"/>
        </w:rPr>
      </w:pPr>
      <w:r w:rsidRPr="00AE38CA">
        <w:rPr>
          <w:b/>
          <w:lang w:bidi="en-GB"/>
        </w:rPr>
        <w:t>Assessment and</w:t>
      </w:r>
      <w:r w:rsidR="006842AB" w:rsidRPr="00AE38CA">
        <w:rPr>
          <w:b/>
          <w:lang w:bidi="en-GB"/>
        </w:rPr>
        <w:t xml:space="preserve"> conclusions</w:t>
      </w:r>
    </w:p>
    <w:p w14:paraId="62324537" w14:textId="77777777" w:rsidR="006842AB" w:rsidRPr="00AE38CA" w:rsidRDefault="006842AB" w:rsidP="006842AB">
      <w:pPr>
        <w:pStyle w:val="Plattetekst"/>
        <w:rPr>
          <w:lang w:bidi="en-GB"/>
        </w:rPr>
      </w:pPr>
      <w:r w:rsidRPr="00AE38CA">
        <w:rPr>
          <w:lang w:bidi="en-GB"/>
        </w:rPr>
        <w:t xml:space="preserve">Based on the above findings, we can observe that overall, the Dutch government has several policies and programmes in place to ensure adequate nutrition is available and accessible to all children. However, some caveats are noteworthy: </w:t>
      </w:r>
    </w:p>
    <w:p w14:paraId="3D9648E4" w14:textId="3FD75448" w:rsidR="006842AB" w:rsidRPr="00AE38CA" w:rsidRDefault="006842AB" w:rsidP="001965B0">
      <w:pPr>
        <w:pStyle w:val="Plattetekst"/>
        <w:numPr>
          <w:ilvl w:val="0"/>
          <w:numId w:val="25"/>
        </w:numPr>
        <w:ind w:left="284" w:hanging="284"/>
        <w:rPr>
          <w:lang w:bidi="en-GB"/>
        </w:rPr>
      </w:pPr>
      <w:r w:rsidRPr="00AE38CA">
        <w:rPr>
          <w:lang w:bidi="en-GB"/>
        </w:rPr>
        <w:t>The current national programmes show a limited number of specific policies to target the target groups as specified for the FSCG. Only a handful of local programmes have been identified that target children from low-SES households and children from non-EU backgrounds. Importantly, the Dutch government recogni</w:t>
      </w:r>
      <w:r w:rsidR="008E0C08" w:rsidRPr="00AE38CA">
        <w:rPr>
          <w:lang w:bidi="en-GB"/>
        </w:rPr>
        <w:t>s</w:t>
      </w:r>
      <w:r w:rsidRPr="00AE38CA">
        <w:rPr>
          <w:lang w:bidi="en-GB"/>
        </w:rPr>
        <w:t xml:space="preserve">es the need for programmes that target specific population groups to combat excessive </w:t>
      </w:r>
      <w:r w:rsidR="00F51359" w:rsidRPr="00AE38CA">
        <w:rPr>
          <w:lang w:bidi="en-GB"/>
        </w:rPr>
        <w:t xml:space="preserve">and unhealthy </w:t>
      </w:r>
      <w:r w:rsidRPr="00AE38CA">
        <w:rPr>
          <w:lang w:bidi="en-GB"/>
        </w:rPr>
        <w:t>food consumption</w:t>
      </w:r>
      <w:r w:rsidR="00E33862" w:rsidRPr="00AE38CA">
        <w:rPr>
          <w:lang w:bidi="en-GB"/>
        </w:rPr>
        <w:t>(</w:t>
      </w:r>
      <w:r w:rsidR="00E65FDB" w:rsidRPr="00AE38CA">
        <w:rPr>
          <w:lang w:bidi="en-GB"/>
        </w:rPr>
        <w:t>VWS</w:t>
      </w:r>
      <w:r w:rsidR="00E33862" w:rsidRPr="00AE38CA">
        <w:rPr>
          <w:lang w:bidi="en-GB"/>
        </w:rPr>
        <w:t>, 2018)</w:t>
      </w:r>
      <w:r w:rsidRPr="00AE38CA">
        <w:rPr>
          <w:lang w:bidi="en-GB"/>
        </w:rPr>
        <w:t xml:space="preserve">. In </w:t>
      </w:r>
      <w:r w:rsidR="009A5FE8" w:rsidRPr="00AE38CA">
        <w:rPr>
          <w:lang w:bidi="en-GB"/>
        </w:rPr>
        <w:t xml:space="preserve">this </w:t>
      </w:r>
      <w:r w:rsidRPr="00AE38CA">
        <w:rPr>
          <w:lang w:bidi="en-GB"/>
        </w:rPr>
        <w:t xml:space="preserve">light, one of the government’s goals as specified in the National Prevention Agreement </w:t>
      </w:r>
      <w:r w:rsidR="009A5FE8" w:rsidRPr="00AE38CA">
        <w:rPr>
          <w:lang w:bidi="en-GB"/>
        </w:rPr>
        <w:t>(</w:t>
      </w:r>
      <w:r w:rsidR="009A5FE8" w:rsidRPr="00AE38CA">
        <w:rPr>
          <w:i/>
          <w:lang w:bidi="en-GB"/>
        </w:rPr>
        <w:t>Nationaal Preventieakkoord</w:t>
      </w:r>
      <w:r w:rsidR="009A5FE8" w:rsidRPr="00AE38CA">
        <w:rPr>
          <w:lang w:bidi="en-GB"/>
        </w:rPr>
        <w:t xml:space="preserve">) </w:t>
      </w:r>
      <w:r w:rsidRPr="00AE38CA">
        <w:rPr>
          <w:lang w:bidi="en-GB"/>
        </w:rPr>
        <w:t xml:space="preserve">is to undertake further research in how to better reach and target specific population groups. However, no further specification is provided on the key features of these population groups, other than that these population groups are generally hard to reach. </w:t>
      </w:r>
    </w:p>
    <w:p w14:paraId="49771A9C" w14:textId="0729B6E3" w:rsidR="006842AB" w:rsidRPr="00AE38CA" w:rsidRDefault="006842AB" w:rsidP="001965B0">
      <w:pPr>
        <w:pStyle w:val="Plattetekst"/>
        <w:numPr>
          <w:ilvl w:val="0"/>
          <w:numId w:val="25"/>
        </w:numPr>
        <w:ind w:left="284" w:hanging="284"/>
        <w:rPr>
          <w:lang w:bidi="en-GB"/>
        </w:rPr>
      </w:pPr>
      <w:r w:rsidRPr="00AE38CA">
        <w:rPr>
          <w:lang w:bidi="en-GB"/>
        </w:rPr>
        <w:t xml:space="preserve">Given the freedom that people exercise in food intake, current policies and programmes are mainly focused on informing and educating children on healthy food choices to ultimately drive positive </w:t>
      </w:r>
      <w:r w:rsidR="0019049D" w:rsidRPr="00AE38CA">
        <w:rPr>
          <w:lang w:bidi="en-GB"/>
        </w:rPr>
        <w:t>behaviour</w:t>
      </w:r>
      <w:r w:rsidRPr="00AE38CA">
        <w:rPr>
          <w:lang w:bidi="en-GB"/>
        </w:rPr>
        <w:t xml:space="preserve"> change.</w:t>
      </w:r>
    </w:p>
    <w:p w14:paraId="7944ACF5" w14:textId="5FCB99C5" w:rsidR="006842AB" w:rsidRPr="00AE38CA" w:rsidRDefault="006842AB" w:rsidP="001965B0">
      <w:pPr>
        <w:pStyle w:val="Plattetekst"/>
        <w:numPr>
          <w:ilvl w:val="0"/>
          <w:numId w:val="25"/>
        </w:numPr>
        <w:ind w:left="284" w:hanging="284"/>
        <w:rPr>
          <w:lang w:bidi="en-GB"/>
        </w:rPr>
      </w:pPr>
      <w:r w:rsidRPr="00AE38CA">
        <w:rPr>
          <w:lang w:bidi="en-GB"/>
        </w:rPr>
        <w:t>School canteens are not embedded in the Dutch school system as in other countries (</w:t>
      </w:r>
      <w:r w:rsidR="0019049D" w:rsidRPr="00AE38CA">
        <w:rPr>
          <w:lang w:bidi="en-GB"/>
        </w:rPr>
        <w:t>e.g</w:t>
      </w:r>
      <w:r w:rsidRPr="00AE38CA">
        <w:rPr>
          <w:lang w:bidi="en-GB"/>
        </w:rPr>
        <w:t>. England). In the Netherlands, primary school students are required to bring their own lunch to school. Secondary and vocational school</w:t>
      </w:r>
      <w:r w:rsidR="00035318" w:rsidRPr="00AE38CA">
        <w:rPr>
          <w:lang w:bidi="en-GB"/>
        </w:rPr>
        <w:t>s</w:t>
      </w:r>
      <w:r w:rsidRPr="00AE38CA">
        <w:rPr>
          <w:lang w:bidi="en-GB"/>
        </w:rPr>
        <w:t xml:space="preserve"> do </w:t>
      </w:r>
      <w:r w:rsidR="00035318" w:rsidRPr="00AE38CA">
        <w:rPr>
          <w:lang w:bidi="en-GB"/>
        </w:rPr>
        <w:t xml:space="preserve">have </w:t>
      </w:r>
      <w:r w:rsidRPr="00AE38CA">
        <w:rPr>
          <w:lang w:bidi="en-GB"/>
        </w:rPr>
        <w:t xml:space="preserve">school canteens but students are expected to pay for all food products. Given this context, current school nutrition programmes mainly focus on food education rather than on the actual provision of nutritious food. </w:t>
      </w:r>
    </w:p>
    <w:p w14:paraId="5AAC2E7C" w14:textId="1E26C9BD" w:rsidR="006842AB" w:rsidRPr="00AE38CA" w:rsidRDefault="006842AB" w:rsidP="006842AB">
      <w:pPr>
        <w:pStyle w:val="Plattetekst"/>
        <w:rPr>
          <w:lang w:bidi="en-GB"/>
        </w:rPr>
      </w:pPr>
      <w:r w:rsidRPr="00AE38CA">
        <w:rPr>
          <w:lang w:bidi="en-GB"/>
        </w:rPr>
        <w:t>In</w:t>
      </w:r>
      <w:r w:rsidR="00970CF2" w:rsidRPr="00AE38CA">
        <w:rPr>
          <w:lang w:bidi="en-GB"/>
        </w:rPr>
        <w:t xml:space="preserve"> this</w:t>
      </w:r>
      <w:r w:rsidRPr="00AE38CA">
        <w:rPr>
          <w:lang w:bidi="en-GB"/>
        </w:rPr>
        <w:t xml:space="preserve"> light, the current Dutch main policies and programmes focused on nutrition lead to a </w:t>
      </w:r>
      <w:r w:rsidRPr="00AE38CA">
        <w:rPr>
          <w:b/>
          <w:i/>
          <w:lang w:bidi="en-GB"/>
        </w:rPr>
        <w:t>moderate security</w:t>
      </w:r>
      <w:r w:rsidRPr="00AE38CA">
        <w:rPr>
          <w:lang w:bidi="en-GB"/>
        </w:rPr>
        <w:t xml:space="preserve"> of ensuring that the four target groups (TGs) as specified for the FSCG have access to adequate nutrition. More specifically: </w:t>
      </w:r>
    </w:p>
    <w:p w14:paraId="1A803213" w14:textId="584571E6" w:rsidR="006842AB" w:rsidRPr="00AE38CA" w:rsidRDefault="00970CF2" w:rsidP="001965B0">
      <w:pPr>
        <w:pStyle w:val="Plattetekst"/>
        <w:numPr>
          <w:ilvl w:val="0"/>
          <w:numId w:val="26"/>
        </w:numPr>
        <w:ind w:left="284" w:hanging="284"/>
        <w:rPr>
          <w:lang w:bidi="en-GB"/>
        </w:rPr>
      </w:pPr>
      <w:r w:rsidRPr="00AE38CA">
        <w:rPr>
          <w:lang w:bidi="en-GB"/>
        </w:rPr>
        <w:t>T</w:t>
      </w:r>
      <w:r w:rsidR="006842AB" w:rsidRPr="00AE38CA">
        <w:rPr>
          <w:lang w:bidi="en-GB"/>
        </w:rPr>
        <w:t xml:space="preserve">he </w:t>
      </w:r>
      <w:r w:rsidR="006842AB" w:rsidRPr="00AE38CA">
        <w:rPr>
          <w:b/>
          <w:lang w:bidi="en-GB"/>
        </w:rPr>
        <w:t>availability</w:t>
      </w:r>
      <w:r w:rsidR="006842AB" w:rsidRPr="00AE38CA">
        <w:rPr>
          <w:lang w:bidi="en-GB"/>
        </w:rPr>
        <w:t xml:space="preserve"> of nutritious food is for all four TGs partly secured through:</w:t>
      </w:r>
    </w:p>
    <w:p w14:paraId="430DD360" w14:textId="7B2F716C" w:rsidR="006842AB" w:rsidRPr="00AE38CA" w:rsidRDefault="006842AB" w:rsidP="001965B0">
      <w:pPr>
        <w:pStyle w:val="Plattetekst"/>
        <w:numPr>
          <w:ilvl w:val="0"/>
          <w:numId w:val="28"/>
        </w:numPr>
        <w:rPr>
          <w:lang w:bidi="en-GB"/>
        </w:rPr>
      </w:pPr>
      <w:r w:rsidRPr="00AE38CA">
        <w:rPr>
          <w:lang w:bidi="en-GB"/>
        </w:rPr>
        <w:lastRenderedPageBreak/>
        <w:t>new healthier nutrition standards that the government is implementing (and will implement) in the food industry by following national nutrition guidelines</w:t>
      </w:r>
      <w:r w:rsidR="00970CF2" w:rsidRPr="00AE38CA">
        <w:rPr>
          <w:lang w:bidi="en-GB"/>
        </w:rPr>
        <w:t>;</w:t>
      </w:r>
    </w:p>
    <w:p w14:paraId="0472E6DD" w14:textId="43018328" w:rsidR="006842AB" w:rsidRPr="00AE38CA" w:rsidRDefault="006842AB" w:rsidP="001965B0">
      <w:pPr>
        <w:pStyle w:val="Plattetekst"/>
        <w:numPr>
          <w:ilvl w:val="0"/>
          <w:numId w:val="28"/>
        </w:numPr>
        <w:rPr>
          <w:lang w:bidi="en-GB"/>
        </w:rPr>
      </w:pPr>
      <w:r w:rsidRPr="00AE38CA">
        <w:rPr>
          <w:lang w:bidi="en-GB"/>
        </w:rPr>
        <w:t xml:space="preserve">policy guidelines that food banks are committed to in accordance with national nutrition guidelines. However, no formal monitoring policies are in place to evaluate the extent to which food banks are implementing the national nutrition guidelines. </w:t>
      </w:r>
    </w:p>
    <w:p w14:paraId="470F6FB8" w14:textId="30F95A12" w:rsidR="006842AB" w:rsidRPr="00AE38CA" w:rsidRDefault="00FD56FD" w:rsidP="001965B0">
      <w:pPr>
        <w:pStyle w:val="Plattetekst"/>
        <w:numPr>
          <w:ilvl w:val="0"/>
          <w:numId w:val="26"/>
        </w:numPr>
        <w:ind w:left="284" w:hanging="284"/>
        <w:rPr>
          <w:lang w:bidi="en-GB"/>
        </w:rPr>
      </w:pPr>
      <w:r w:rsidRPr="00AE38CA">
        <w:rPr>
          <w:lang w:bidi="en-GB"/>
        </w:rPr>
        <w:t>T</w:t>
      </w:r>
      <w:r w:rsidR="006842AB" w:rsidRPr="00AE38CA">
        <w:rPr>
          <w:lang w:bidi="en-GB"/>
        </w:rPr>
        <w:t xml:space="preserve">he </w:t>
      </w:r>
      <w:r w:rsidR="006842AB" w:rsidRPr="00AE38CA">
        <w:rPr>
          <w:b/>
          <w:lang w:bidi="en-GB"/>
        </w:rPr>
        <w:t>accessibility</w:t>
      </w:r>
      <w:r w:rsidR="006842AB" w:rsidRPr="00AE38CA">
        <w:rPr>
          <w:lang w:bidi="en-GB"/>
        </w:rPr>
        <w:t xml:space="preserve"> of nutritious food is for all four TG partly ensured by:</w:t>
      </w:r>
    </w:p>
    <w:p w14:paraId="363DD1F7" w14:textId="5F9A0805" w:rsidR="006842AB" w:rsidRPr="00AE38CA" w:rsidRDefault="006842AB" w:rsidP="001965B0">
      <w:pPr>
        <w:pStyle w:val="Plattetekst"/>
        <w:numPr>
          <w:ilvl w:val="0"/>
          <w:numId w:val="29"/>
        </w:numPr>
        <w:rPr>
          <w:lang w:bidi="en-GB"/>
        </w:rPr>
      </w:pPr>
      <w:r w:rsidRPr="00AE38CA">
        <w:rPr>
          <w:lang w:bidi="en-GB"/>
        </w:rPr>
        <w:t>legal national and international standards that the Dutch government is expected to follow in order to prevent non-discriminatory practices in the Dutch society</w:t>
      </w:r>
      <w:r w:rsidR="00BB4ADF" w:rsidRPr="00AE38CA">
        <w:rPr>
          <w:lang w:bidi="en-GB"/>
        </w:rPr>
        <w:t xml:space="preserve">. However, it should be noted that </w:t>
      </w:r>
      <w:r w:rsidR="00FD56FD" w:rsidRPr="00AE38CA">
        <w:rPr>
          <w:lang w:bidi="en-GB"/>
        </w:rPr>
        <w:t xml:space="preserve">access to clean drinking-water is </w:t>
      </w:r>
      <w:r w:rsidR="00BB4ADF" w:rsidRPr="00AE38CA">
        <w:rPr>
          <w:lang w:bidi="en-GB"/>
        </w:rPr>
        <w:t xml:space="preserve">not fully guaranteed </w:t>
      </w:r>
      <w:r w:rsidR="00FD56FD" w:rsidRPr="00AE38CA">
        <w:rPr>
          <w:lang w:bidi="en-GB"/>
        </w:rPr>
        <w:t xml:space="preserve">to Dutch households </w:t>
      </w:r>
      <w:r w:rsidR="00BB4ADF" w:rsidRPr="00AE38CA">
        <w:rPr>
          <w:lang w:bidi="en-GB"/>
        </w:rPr>
        <w:t xml:space="preserve">as </w:t>
      </w:r>
      <w:r w:rsidR="00FD56FD" w:rsidRPr="00AE38CA">
        <w:rPr>
          <w:lang w:bidi="en-GB"/>
        </w:rPr>
        <w:t xml:space="preserve">they </w:t>
      </w:r>
      <w:r w:rsidR="00BB4ADF" w:rsidRPr="00AE38CA">
        <w:rPr>
          <w:lang w:bidi="en-GB"/>
        </w:rPr>
        <w:t xml:space="preserve">can be </w:t>
      </w:r>
      <w:r w:rsidR="00FD56FD" w:rsidRPr="00AE38CA">
        <w:rPr>
          <w:lang w:bidi="en-GB"/>
        </w:rPr>
        <w:t xml:space="preserve">cut off </w:t>
      </w:r>
      <w:r w:rsidR="00BB4ADF" w:rsidRPr="00AE38CA">
        <w:rPr>
          <w:lang w:bidi="en-GB"/>
        </w:rPr>
        <w:t xml:space="preserve">from utility services when failing to pay </w:t>
      </w:r>
      <w:r w:rsidR="00D66B0C" w:rsidRPr="00AE38CA">
        <w:rPr>
          <w:lang w:bidi="en-GB"/>
        </w:rPr>
        <w:t xml:space="preserve">their </w:t>
      </w:r>
      <w:r w:rsidR="00BB4ADF" w:rsidRPr="00AE38CA">
        <w:rPr>
          <w:lang w:bidi="en-GB"/>
        </w:rPr>
        <w:t>utility bills, including water from their water supplier. For example, an interviewed expert referred to over 15</w:t>
      </w:r>
      <w:r w:rsidR="00D66B0C" w:rsidRPr="00AE38CA">
        <w:rPr>
          <w:lang w:bidi="en-GB"/>
        </w:rPr>
        <w:t>,</w:t>
      </w:r>
      <w:r w:rsidR="00BB4ADF" w:rsidRPr="00AE38CA">
        <w:rPr>
          <w:lang w:bidi="en-GB"/>
        </w:rPr>
        <w:t xml:space="preserve">000 residential water </w:t>
      </w:r>
      <w:r w:rsidR="00D66B0C" w:rsidRPr="00AE38CA">
        <w:rPr>
          <w:lang w:bidi="en-GB"/>
        </w:rPr>
        <w:t xml:space="preserve">shut-offs </w:t>
      </w:r>
      <w:r w:rsidR="00BB4ADF" w:rsidRPr="00AE38CA">
        <w:rPr>
          <w:lang w:bidi="en-GB"/>
        </w:rPr>
        <w:t>that occurred over a three-year period in The Hague</w:t>
      </w:r>
      <w:r w:rsidR="00C52C84" w:rsidRPr="00AE38CA">
        <w:rPr>
          <w:lang w:bidi="en-GB"/>
        </w:rPr>
        <w:t>;</w:t>
      </w:r>
    </w:p>
    <w:p w14:paraId="7CACCEB0" w14:textId="228414EF" w:rsidR="006842AB" w:rsidRPr="00AE38CA" w:rsidRDefault="006842AB" w:rsidP="001965B0">
      <w:pPr>
        <w:pStyle w:val="Plattetekst"/>
        <w:numPr>
          <w:ilvl w:val="0"/>
          <w:numId w:val="29"/>
        </w:numPr>
        <w:rPr>
          <w:lang w:bidi="en-GB"/>
        </w:rPr>
      </w:pPr>
      <w:r w:rsidRPr="00AE38CA">
        <w:rPr>
          <w:lang w:bidi="en-GB"/>
        </w:rPr>
        <w:t>informing children and their parents o</w:t>
      </w:r>
      <w:r w:rsidR="00C52C84" w:rsidRPr="00AE38CA">
        <w:rPr>
          <w:lang w:bidi="en-GB"/>
        </w:rPr>
        <w:t>f</w:t>
      </w:r>
      <w:r w:rsidRPr="00AE38CA">
        <w:rPr>
          <w:lang w:bidi="en-GB"/>
        </w:rPr>
        <w:t xml:space="preserve"> healthy food choices and the national nutritional guidelines through schools and the health</w:t>
      </w:r>
      <w:r w:rsidR="00C52C84" w:rsidRPr="00AE38CA">
        <w:rPr>
          <w:lang w:bidi="en-GB"/>
        </w:rPr>
        <w:t xml:space="preserve"> </w:t>
      </w:r>
      <w:r w:rsidRPr="00AE38CA">
        <w:rPr>
          <w:lang w:bidi="en-GB"/>
        </w:rPr>
        <w:t>care sector</w:t>
      </w:r>
      <w:r w:rsidR="00C52C84" w:rsidRPr="00AE38CA">
        <w:rPr>
          <w:lang w:bidi="en-GB"/>
        </w:rPr>
        <w:t>.</w:t>
      </w:r>
    </w:p>
    <w:p w14:paraId="0C822D9A" w14:textId="28CB14B5" w:rsidR="006842AB" w:rsidRPr="00AE38CA" w:rsidRDefault="00087ECF" w:rsidP="001965B0">
      <w:pPr>
        <w:pStyle w:val="Plattetekst"/>
        <w:numPr>
          <w:ilvl w:val="0"/>
          <w:numId w:val="26"/>
        </w:numPr>
        <w:ind w:left="284" w:hanging="284"/>
        <w:rPr>
          <w:lang w:bidi="en-GB"/>
        </w:rPr>
      </w:pPr>
      <w:r w:rsidRPr="00AE38CA">
        <w:rPr>
          <w:lang w:bidi="en-GB"/>
        </w:rPr>
        <w:t>T</w:t>
      </w:r>
      <w:r w:rsidR="006842AB" w:rsidRPr="00AE38CA">
        <w:rPr>
          <w:lang w:bidi="en-GB"/>
        </w:rPr>
        <w:t xml:space="preserve">he </w:t>
      </w:r>
      <w:r w:rsidR="006842AB" w:rsidRPr="00AE38CA">
        <w:rPr>
          <w:b/>
          <w:lang w:bidi="en-GB"/>
        </w:rPr>
        <w:t>affordability</w:t>
      </w:r>
      <w:r w:rsidR="006842AB" w:rsidRPr="00AE38CA">
        <w:rPr>
          <w:lang w:bidi="en-GB"/>
        </w:rPr>
        <w:t xml:space="preserve"> of nutritious food for all four TG is partly ensured by monetary support (Participation Act), child benefit support and in-kind support through </w:t>
      </w:r>
      <w:r w:rsidR="00B4287C" w:rsidRPr="00AE38CA">
        <w:rPr>
          <w:lang w:bidi="en-GB"/>
        </w:rPr>
        <w:t>f</w:t>
      </w:r>
      <w:r w:rsidR="006842AB" w:rsidRPr="00AE38CA">
        <w:rPr>
          <w:lang w:bidi="en-GB"/>
        </w:rPr>
        <w:t xml:space="preserve">ood </w:t>
      </w:r>
      <w:r w:rsidR="00B4287C" w:rsidRPr="00AE38CA">
        <w:rPr>
          <w:lang w:bidi="en-GB"/>
        </w:rPr>
        <w:t>b</w:t>
      </w:r>
      <w:r w:rsidR="006842AB" w:rsidRPr="00AE38CA">
        <w:rPr>
          <w:lang w:bidi="en-GB"/>
        </w:rPr>
        <w:t>anks</w:t>
      </w:r>
      <w:r w:rsidR="00BB4ADF" w:rsidRPr="00AE38CA">
        <w:rPr>
          <w:lang w:bidi="en-GB"/>
        </w:rPr>
        <w:t>.</w:t>
      </w:r>
      <w:r w:rsidR="006842AB" w:rsidRPr="00AE38CA">
        <w:rPr>
          <w:lang w:bidi="en-GB"/>
        </w:rPr>
        <w:t xml:space="preserve"> </w:t>
      </w:r>
    </w:p>
    <w:p w14:paraId="791C2391" w14:textId="4CADEE92" w:rsidR="006842AB" w:rsidRPr="00AE38CA" w:rsidRDefault="00087ECF" w:rsidP="001965B0">
      <w:pPr>
        <w:pStyle w:val="Plattetekst"/>
        <w:numPr>
          <w:ilvl w:val="0"/>
          <w:numId w:val="26"/>
        </w:numPr>
        <w:ind w:left="284" w:hanging="284"/>
        <w:rPr>
          <w:lang w:bidi="en-GB"/>
        </w:rPr>
      </w:pPr>
      <w:r w:rsidRPr="00AE38CA">
        <w:rPr>
          <w:lang w:bidi="en-GB"/>
        </w:rPr>
        <w:t>C</w:t>
      </w:r>
      <w:r w:rsidR="006842AB" w:rsidRPr="00AE38CA">
        <w:rPr>
          <w:lang w:bidi="en-GB"/>
        </w:rPr>
        <w:t xml:space="preserve">urrent programmes focused on the promotion of nutritious food are </w:t>
      </w:r>
      <w:r w:rsidR="006842AB" w:rsidRPr="00AE38CA">
        <w:rPr>
          <w:b/>
          <w:lang w:bidi="en-GB"/>
        </w:rPr>
        <w:t>adaptable</w:t>
      </w:r>
      <w:r w:rsidR="006842AB" w:rsidRPr="00AE38CA">
        <w:rPr>
          <w:lang w:bidi="en-GB"/>
        </w:rPr>
        <w:t xml:space="preserve"> to the local living environment of all four TGs (mainly at schools and sport clubs). However, participation in these programmes is voluntary</w:t>
      </w:r>
      <w:r w:rsidR="00724F5D" w:rsidRPr="00AE38CA">
        <w:rPr>
          <w:lang w:bidi="en-GB"/>
        </w:rPr>
        <w:t xml:space="preserve"> for schools and sport clubs</w:t>
      </w:r>
      <w:r w:rsidR="006842AB" w:rsidRPr="00AE38CA">
        <w:rPr>
          <w:lang w:bidi="en-GB"/>
        </w:rPr>
        <w:t xml:space="preserve">, meaning that not all children (all four TGs as well as their counterparts) will be exposed to adequate nutritious environments. </w:t>
      </w:r>
    </w:p>
    <w:p w14:paraId="478D5B79" w14:textId="40F972C7" w:rsidR="006842AB" w:rsidRPr="00AE38CA" w:rsidRDefault="00087ECF" w:rsidP="001965B0">
      <w:pPr>
        <w:pStyle w:val="Plattetekst"/>
        <w:numPr>
          <w:ilvl w:val="0"/>
          <w:numId w:val="26"/>
        </w:numPr>
        <w:ind w:left="284" w:hanging="284"/>
        <w:rPr>
          <w:lang w:bidi="en-GB"/>
        </w:rPr>
      </w:pPr>
      <w:r w:rsidRPr="00AE38CA">
        <w:rPr>
          <w:b/>
          <w:lang w:bidi="en-GB"/>
        </w:rPr>
        <w:t>A</w:t>
      </w:r>
      <w:r w:rsidR="006842AB" w:rsidRPr="00AE38CA">
        <w:rPr>
          <w:b/>
          <w:lang w:bidi="en-GB"/>
        </w:rPr>
        <w:t>cceptability</w:t>
      </w:r>
      <w:r w:rsidR="006842AB" w:rsidRPr="00AE38CA">
        <w:rPr>
          <w:lang w:bidi="en-GB"/>
        </w:rPr>
        <w:t xml:space="preserve"> can only be seen </w:t>
      </w:r>
      <w:r w:rsidR="00B47172" w:rsidRPr="00AE38CA">
        <w:rPr>
          <w:lang w:bidi="en-GB"/>
        </w:rPr>
        <w:t xml:space="preserve">to </w:t>
      </w:r>
      <w:r w:rsidR="006842AB" w:rsidRPr="00AE38CA">
        <w:rPr>
          <w:lang w:bidi="en-GB"/>
        </w:rPr>
        <w:t xml:space="preserve">a limited extent in current programmes and policies that promote adequate nutrition. Only one national programme specifically prioritises children from low-SES households and secondary schools for children with special education needs. Moreover, only a handful </w:t>
      </w:r>
      <w:r w:rsidR="00B47172" w:rsidRPr="00AE38CA">
        <w:rPr>
          <w:lang w:bidi="en-GB"/>
        </w:rPr>
        <w:t xml:space="preserve">of </w:t>
      </w:r>
      <w:r w:rsidR="006842AB" w:rsidRPr="00AE38CA">
        <w:rPr>
          <w:lang w:bidi="en-GB"/>
        </w:rPr>
        <w:t xml:space="preserve">local projects are available to children from non-EU backgrounds. </w:t>
      </w:r>
    </w:p>
    <w:p w14:paraId="0097663B" w14:textId="2ACDCD2D" w:rsidR="00AF5BC3" w:rsidRPr="00AE38CA" w:rsidRDefault="00AF5BC3" w:rsidP="00406CF4">
      <w:pPr>
        <w:pStyle w:val="Kop2"/>
      </w:pPr>
      <w:bookmarkStart w:id="9" w:name="_Toc532388666"/>
      <w:r w:rsidRPr="00AE38CA">
        <w:t>Description and assessment of main policies in place and recommendations for improvements to ensure access to free education</w:t>
      </w:r>
      <w:bookmarkEnd w:id="9"/>
      <w:r w:rsidR="006E5AB4" w:rsidRPr="00AE38CA">
        <w:t xml:space="preserve"> </w:t>
      </w:r>
    </w:p>
    <w:p w14:paraId="4D5778FB" w14:textId="77777777" w:rsidR="007F6DC1" w:rsidRPr="00AE38CA" w:rsidRDefault="007F6DC1" w:rsidP="007F6DC1">
      <w:pPr>
        <w:pStyle w:val="Plattetekst"/>
        <w:rPr>
          <w:b/>
          <w:lang w:bidi="en-GB"/>
        </w:rPr>
      </w:pPr>
      <w:r w:rsidRPr="00AE38CA">
        <w:rPr>
          <w:b/>
          <w:lang w:bidi="en-GB"/>
        </w:rPr>
        <w:t>Current national policies for a wide audience</w:t>
      </w:r>
      <w:r w:rsidRPr="00AE38CA">
        <w:rPr>
          <w:rStyle w:val="Voetnootmarkering"/>
          <w:b/>
          <w:lang w:bidi="en-GB"/>
        </w:rPr>
        <w:footnoteReference w:id="8"/>
      </w:r>
    </w:p>
    <w:p w14:paraId="2FC917CA" w14:textId="6D5BD8E7" w:rsidR="007F6DC1" w:rsidRPr="00AE38CA" w:rsidRDefault="007F6DC1" w:rsidP="007F6DC1">
      <w:pPr>
        <w:pStyle w:val="Plattetekst"/>
        <w:rPr>
          <w:lang w:bidi="en-GB"/>
        </w:rPr>
      </w:pPr>
      <w:r w:rsidRPr="00AE38CA">
        <w:rPr>
          <w:lang w:bidi="en-GB"/>
        </w:rPr>
        <w:t xml:space="preserve">Freedom of education is an important feature of the Dutch education system and it is guaranteed under Article 23 of the </w:t>
      </w:r>
      <w:r w:rsidR="001E1544" w:rsidRPr="00AE38CA">
        <w:rPr>
          <w:lang w:bidi="en-GB"/>
        </w:rPr>
        <w:t>c</w:t>
      </w:r>
      <w:r w:rsidRPr="00AE38CA">
        <w:rPr>
          <w:lang w:bidi="en-GB"/>
        </w:rPr>
        <w:t xml:space="preserve">onstitution. It includes the right to establish schools and to provide teaching based on religious, ideological or educational believes. As a result, the Dutch education system comprises publicly-run and privately-run schools. Public schools are neutral in terms of religion or ideology and provide education on behalf of the state. Private schools are either based on philosophical or religious beliefs. They are state-funded although not founded by the state. The freedom of education means that schools are free to determine what is taught and how. This freedom is, however, strongly limited by </w:t>
      </w:r>
      <w:r w:rsidR="002039BA" w:rsidRPr="00AE38CA">
        <w:rPr>
          <w:lang w:bidi="en-GB"/>
        </w:rPr>
        <w:t>a st</w:t>
      </w:r>
      <w:r w:rsidR="002906AC" w:rsidRPr="00AE38CA">
        <w:rPr>
          <w:lang w:bidi="en-GB"/>
        </w:rPr>
        <w:t xml:space="preserve">rict set of </w:t>
      </w:r>
      <w:r w:rsidRPr="00AE38CA">
        <w:rPr>
          <w:lang w:bidi="en-GB"/>
        </w:rPr>
        <w:t xml:space="preserve">standards set by the Ministry of Education, Culture and Science in educational legislation. These standards apply to </w:t>
      </w:r>
      <w:r w:rsidR="00897A06" w:rsidRPr="00AE38CA">
        <w:rPr>
          <w:lang w:bidi="en-GB"/>
        </w:rPr>
        <w:t xml:space="preserve">both </w:t>
      </w:r>
      <w:r w:rsidRPr="00AE38CA">
        <w:rPr>
          <w:lang w:bidi="en-GB"/>
        </w:rPr>
        <w:t>public and private education.</w:t>
      </w:r>
      <w:r w:rsidRPr="00AE38CA">
        <w:rPr>
          <w:rStyle w:val="Voetnootmarkering"/>
          <w:lang w:bidi="en-GB"/>
        </w:rPr>
        <w:footnoteReference w:id="9"/>
      </w:r>
    </w:p>
    <w:p w14:paraId="50A27BB8" w14:textId="712D06A5" w:rsidR="007F6DC1" w:rsidRPr="00AE38CA" w:rsidRDefault="007F6DC1" w:rsidP="007F6DC1">
      <w:pPr>
        <w:pStyle w:val="Plattetekst"/>
        <w:rPr>
          <w:lang w:bidi="en-GB"/>
        </w:rPr>
      </w:pPr>
      <w:r w:rsidRPr="00AE38CA">
        <w:rPr>
          <w:rStyle w:val="ts-alignment-element"/>
          <w:rFonts w:cs="Segoe UI"/>
        </w:rPr>
        <w:lastRenderedPageBreak/>
        <w:t>This system offers</w:t>
      </w:r>
      <w:r w:rsidRPr="00AE38CA">
        <w:rPr>
          <w:rFonts w:cs="Segoe UI"/>
        </w:rPr>
        <w:t xml:space="preserve"> </w:t>
      </w:r>
      <w:r w:rsidR="00094F13" w:rsidRPr="00AE38CA">
        <w:rPr>
          <w:rFonts w:cs="Segoe UI"/>
        </w:rPr>
        <w:t>s</w:t>
      </w:r>
      <w:r w:rsidRPr="00AE38CA">
        <w:rPr>
          <w:rFonts w:cs="Segoe UI"/>
        </w:rPr>
        <w:t>tudents and</w:t>
      </w:r>
      <w:r w:rsidRPr="00AE38CA">
        <w:rPr>
          <w:lang w:bidi="en-GB"/>
        </w:rPr>
        <w:t xml:space="preserve"> their parents </w:t>
      </w:r>
      <w:r w:rsidR="00094F13" w:rsidRPr="00AE38CA">
        <w:rPr>
          <w:lang w:bidi="en-GB"/>
        </w:rPr>
        <w:t xml:space="preserve">freedom </w:t>
      </w:r>
      <w:r w:rsidRPr="00AE38CA">
        <w:rPr>
          <w:lang w:bidi="en-GB"/>
        </w:rPr>
        <w:t xml:space="preserve">to choose a school in line with their own views, ideologies and needs. Public schools are open to all students regardless of their outlook on life. Private schools </w:t>
      </w:r>
      <w:r w:rsidR="00930732" w:rsidRPr="00AE38CA">
        <w:rPr>
          <w:lang w:bidi="en-GB"/>
        </w:rPr>
        <w:t xml:space="preserve">may </w:t>
      </w:r>
      <w:r w:rsidRPr="00AE38CA">
        <w:rPr>
          <w:lang w:bidi="en-GB"/>
        </w:rPr>
        <w:t>refuse students whose parents’ religion or faith differ from the school’s religion or faith. This is, however, uncommon, except for the more orthodox religious schools.</w:t>
      </w:r>
    </w:p>
    <w:p w14:paraId="705266F7" w14:textId="7A489A32" w:rsidR="00F126C5" w:rsidRPr="00AE38CA" w:rsidRDefault="007F6DC1" w:rsidP="00F126C5">
      <w:pPr>
        <w:pStyle w:val="Plattetekst"/>
        <w:rPr>
          <w:lang w:bidi="en-GB"/>
        </w:rPr>
      </w:pPr>
      <w:r w:rsidRPr="00AE38CA">
        <w:rPr>
          <w:lang w:bidi="en-GB"/>
        </w:rPr>
        <w:t>Free primary and secondary education is available to everyone. Parents are only asked to pay a voluntary contribution for special activities and events</w:t>
      </w:r>
      <w:r w:rsidR="002E1B6A" w:rsidRPr="00AE38CA">
        <w:rPr>
          <w:lang w:bidi="en-GB"/>
        </w:rPr>
        <w:t xml:space="preserve"> outside of the curriculum</w:t>
      </w:r>
      <w:r w:rsidR="00450269" w:rsidRPr="00AE38CA">
        <w:rPr>
          <w:lang w:bidi="en-GB"/>
        </w:rPr>
        <w:t>.</w:t>
      </w:r>
      <w:r w:rsidRPr="00AE38CA">
        <w:rPr>
          <w:lang w:bidi="en-GB"/>
        </w:rPr>
        <w:t xml:space="preserve"> The amount of the contribution varies </w:t>
      </w:r>
      <w:r w:rsidR="002C6C96" w:rsidRPr="00AE38CA">
        <w:rPr>
          <w:lang w:bidi="en-GB"/>
        </w:rPr>
        <w:t xml:space="preserve">among </w:t>
      </w:r>
      <w:r w:rsidRPr="00AE38CA">
        <w:rPr>
          <w:lang w:bidi="en-GB"/>
        </w:rPr>
        <w:t>schools.</w:t>
      </w:r>
      <w:r w:rsidR="00F5573C" w:rsidRPr="00AE38CA">
        <w:rPr>
          <w:lang w:bidi="en-GB"/>
        </w:rPr>
        <w:t xml:space="preserve"> I</w:t>
      </w:r>
      <w:r w:rsidR="00F126C5" w:rsidRPr="00AE38CA">
        <w:rPr>
          <w:lang w:bidi="en-GB"/>
        </w:rPr>
        <w:t xml:space="preserve">n practice, some unclarities may occur, for instance when parents are asked to contribute to the funding of school computers or school trips. Parents can sometimes apply for financial support, mostly offered by local municipalities. </w:t>
      </w:r>
      <w:r w:rsidR="004A4479" w:rsidRPr="00AE38CA">
        <w:rPr>
          <w:lang w:bidi="en-GB"/>
        </w:rPr>
        <w:t xml:space="preserve">However, </w:t>
      </w:r>
      <w:r w:rsidR="00A33816" w:rsidRPr="00AE38CA">
        <w:rPr>
          <w:lang w:bidi="en-GB"/>
        </w:rPr>
        <w:t>the Inception Report (</w:t>
      </w:r>
      <w:r w:rsidR="005632BC" w:rsidRPr="00AE38CA">
        <w:rPr>
          <w:lang w:bidi="en-GB"/>
        </w:rPr>
        <w:t xml:space="preserve">2018, </w:t>
      </w:r>
      <w:r w:rsidR="00A33816" w:rsidRPr="00AE38CA">
        <w:rPr>
          <w:lang w:bidi="en-GB"/>
        </w:rPr>
        <w:t xml:space="preserve">p.81) shows that </w:t>
      </w:r>
      <w:r w:rsidR="00F641DA" w:rsidRPr="00AE38CA">
        <w:rPr>
          <w:lang w:bidi="en-GB"/>
        </w:rPr>
        <w:t xml:space="preserve">households in precarious </w:t>
      </w:r>
      <w:r w:rsidR="003E7ADF" w:rsidRPr="00AE38CA">
        <w:rPr>
          <w:lang w:bidi="en-GB"/>
        </w:rPr>
        <w:t xml:space="preserve">family situations </w:t>
      </w:r>
      <w:r w:rsidR="00FD2E9B" w:rsidRPr="00AE38CA">
        <w:rPr>
          <w:lang w:bidi="en-GB"/>
        </w:rPr>
        <w:t xml:space="preserve">more often </w:t>
      </w:r>
      <w:r w:rsidR="005632BC" w:rsidRPr="00AE38CA">
        <w:rPr>
          <w:lang w:bidi="en-GB"/>
        </w:rPr>
        <w:t>than</w:t>
      </w:r>
      <w:r w:rsidR="000D443E" w:rsidRPr="00AE38CA">
        <w:rPr>
          <w:lang w:bidi="en-GB"/>
        </w:rPr>
        <w:t xml:space="preserve"> other fa</w:t>
      </w:r>
      <w:r w:rsidR="005632BC" w:rsidRPr="00AE38CA">
        <w:rPr>
          <w:lang w:bidi="en-GB"/>
        </w:rPr>
        <w:t xml:space="preserve">milies </w:t>
      </w:r>
      <w:r w:rsidR="003E7ADF" w:rsidRPr="00AE38CA">
        <w:rPr>
          <w:lang w:bidi="en-GB"/>
        </w:rPr>
        <w:t xml:space="preserve">find it </w:t>
      </w:r>
      <w:r w:rsidR="00561D04" w:rsidRPr="00AE38CA">
        <w:rPr>
          <w:lang w:bidi="en-GB"/>
        </w:rPr>
        <w:t xml:space="preserve">difficult </w:t>
      </w:r>
      <w:r w:rsidR="0024235A" w:rsidRPr="00AE38CA">
        <w:rPr>
          <w:lang w:bidi="en-GB"/>
        </w:rPr>
        <w:t>to cover the costs of formal education</w:t>
      </w:r>
      <w:r w:rsidR="00A33816" w:rsidRPr="00AE38CA">
        <w:rPr>
          <w:lang w:bidi="en-GB"/>
        </w:rPr>
        <w:t xml:space="preserve">. </w:t>
      </w:r>
    </w:p>
    <w:p w14:paraId="04A9DE72" w14:textId="6E9342FF" w:rsidR="007F6DC1" w:rsidRPr="00AE38CA" w:rsidRDefault="007F6DC1" w:rsidP="007F6DC1">
      <w:pPr>
        <w:pStyle w:val="Plattetekst"/>
        <w:rPr>
          <w:lang w:bidi="en-GB"/>
        </w:rPr>
      </w:pPr>
      <w:r w:rsidRPr="00AE38CA">
        <w:rPr>
          <w:lang w:bidi="en-GB"/>
        </w:rPr>
        <w:t>The Compulsory Education Act (</w:t>
      </w:r>
      <w:r w:rsidR="000C59A3" w:rsidRPr="00AE38CA">
        <w:rPr>
          <w:i/>
          <w:lang w:bidi="en-GB"/>
        </w:rPr>
        <w:t>Leerplichtwet</w:t>
      </w:r>
      <w:r w:rsidR="000C59A3" w:rsidRPr="00AE38CA">
        <w:rPr>
          <w:lang w:bidi="en-GB"/>
        </w:rPr>
        <w:t xml:space="preserve">, </w:t>
      </w:r>
      <w:r w:rsidRPr="00AE38CA">
        <w:rPr>
          <w:lang w:bidi="en-GB"/>
        </w:rPr>
        <w:t xml:space="preserve">1969) sets down the obligation for </w:t>
      </w:r>
      <w:r w:rsidR="00D75D3B" w:rsidRPr="00AE38CA">
        <w:rPr>
          <w:lang w:bidi="en-GB"/>
        </w:rPr>
        <w:t xml:space="preserve">all </w:t>
      </w:r>
      <w:r w:rsidRPr="00AE38CA">
        <w:rPr>
          <w:lang w:bidi="en-GB"/>
        </w:rPr>
        <w:t>child</w:t>
      </w:r>
      <w:r w:rsidR="00D75D3B" w:rsidRPr="00AE38CA">
        <w:rPr>
          <w:lang w:bidi="en-GB"/>
        </w:rPr>
        <w:t>ren</w:t>
      </w:r>
      <w:r w:rsidRPr="00AE38CA">
        <w:rPr>
          <w:lang w:bidi="en-GB"/>
        </w:rPr>
        <w:t xml:space="preserve"> age</w:t>
      </w:r>
      <w:r w:rsidR="00D75D3B" w:rsidRPr="00AE38CA">
        <w:rPr>
          <w:lang w:bidi="en-GB"/>
        </w:rPr>
        <w:t>d</w:t>
      </w:r>
      <w:r w:rsidRPr="00AE38CA">
        <w:rPr>
          <w:lang w:bidi="en-GB"/>
        </w:rPr>
        <w:t xml:space="preserve"> </w:t>
      </w:r>
      <w:r w:rsidR="004F4E94" w:rsidRPr="00AE38CA">
        <w:rPr>
          <w:lang w:bidi="en-GB"/>
        </w:rPr>
        <w:t>5</w:t>
      </w:r>
      <w:r w:rsidR="00F12FEC" w:rsidRPr="00AE38CA">
        <w:rPr>
          <w:lang w:bidi="en-GB"/>
        </w:rPr>
        <w:t>-</w:t>
      </w:r>
      <w:r w:rsidR="004F4E94" w:rsidRPr="00AE38CA">
        <w:rPr>
          <w:lang w:bidi="en-GB"/>
        </w:rPr>
        <w:t>16</w:t>
      </w:r>
      <w:r w:rsidRPr="00AE38CA">
        <w:rPr>
          <w:lang w:bidi="en-GB"/>
        </w:rPr>
        <w:t xml:space="preserve"> to attend school full-time. However, nearly all attend school from the age of four. Since August 2007, there is the obligation to continue education in order to obtain a basic qualification for young people under the age of 18, who have finished compulsory education but have not yet obtained a basic qualification certificate: at least a certificate at general secondary (</w:t>
      </w:r>
      <w:r w:rsidR="00F12FEC" w:rsidRPr="00AE38CA">
        <w:rPr>
          <w:lang w:bidi="en-GB"/>
        </w:rPr>
        <w:t>havo</w:t>
      </w:r>
      <w:r w:rsidRPr="00AE38CA">
        <w:rPr>
          <w:lang w:bidi="en-GB"/>
        </w:rPr>
        <w:t>), pre-university (</w:t>
      </w:r>
      <w:r w:rsidR="00F12FEC" w:rsidRPr="00AE38CA">
        <w:rPr>
          <w:lang w:bidi="en-GB"/>
        </w:rPr>
        <w:t>vwo</w:t>
      </w:r>
      <w:r w:rsidRPr="00AE38CA">
        <w:rPr>
          <w:lang w:bidi="en-GB"/>
        </w:rPr>
        <w:t>) or vocational (</w:t>
      </w:r>
      <w:r w:rsidR="00F12FEC" w:rsidRPr="00AE38CA">
        <w:rPr>
          <w:lang w:bidi="en-GB"/>
        </w:rPr>
        <w:t>mbo</w:t>
      </w:r>
      <w:r w:rsidRPr="00AE38CA">
        <w:rPr>
          <w:lang w:bidi="en-GB"/>
        </w:rPr>
        <w:t>-2) level. The municipal authorities ensure compliance with the Act in both publicly</w:t>
      </w:r>
      <w:r w:rsidR="008337F1" w:rsidRPr="00AE38CA">
        <w:rPr>
          <w:lang w:bidi="en-GB"/>
        </w:rPr>
        <w:t>-run</w:t>
      </w:r>
      <w:r w:rsidRPr="00AE38CA">
        <w:rPr>
          <w:lang w:bidi="en-GB"/>
        </w:rPr>
        <w:t xml:space="preserve"> and privately-run schools</w:t>
      </w:r>
      <w:r w:rsidR="006A7D74" w:rsidRPr="00AE38CA">
        <w:rPr>
          <w:lang w:bidi="en-GB"/>
        </w:rPr>
        <w:t>.</w:t>
      </w:r>
    </w:p>
    <w:p w14:paraId="03C76AC6" w14:textId="0FB4B19D" w:rsidR="007F6DC1" w:rsidRPr="00AE38CA" w:rsidRDefault="007F6DC1" w:rsidP="007F6DC1">
      <w:pPr>
        <w:pStyle w:val="Plattetekst"/>
        <w:rPr>
          <w:lang w:bidi="en-GB"/>
        </w:rPr>
      </w:pPr>
      <w:r w:rsidRPr="00AE38CA">
        <w:rPr>
          <w:lang w:bidi="en-GB"/>
        </w:rPr>
        <w:t xml:space="preserve">Importantly, not all children </w:t>
      </w:r>
      <w:r w:rsidR="008337F1" w:rsidRPr="00AE38CA">
        <w:rPr>
          <w:lang w:bidi="en-GB"/>
        </w:rPr>
        <w:t xml:space="preserve">between 5-16 </w:t>
      </w:r>
      <w:r w:rsidRPr="00AE38CA">
        <w:rPr>
          <w:lang w:bidi="en-GB"/>
        </w:rPr>
        <w:t>need to attend school. In some instances, children can be exempted by the local school attendance officer based on one of the following</w:t>
      </w:r>
      <w:r w:rsidR="00A60030" w:rsidRPr="00AE38CA">
        <w:rPr>
          <w:lang w:bidi="en-GB"/>
        </w:rPr>
        <w:t xml:space="preserve"> criteria</w:t>
      </w:r>
      <w:r w:rsidRPr="00AE38CA">
        <w:rPr>
          <w:lang w:bidi="en-GB"/>
        </w:rPr>
        <w:t xml:space="preserve">: </w:t>
      </w:r>
    </w:p>
    <w:p w14:paraId="1457D99E" w14:textId="220E85F1" w:rsidR="007F6DC1" w:rsidRPr="00AE38CA" w:rsidRDefault="007F6DC1" w:rsidP="001965B0">
      <w:pPr>
        <w:pStyle w:val="Plattetekst"/>
        <w:numPr>
          <w:ilvl w:val="0"/>
          <w:numId w:val="26"/>
        </w:numPr>
        <w:ind w:left="284" w:hanging="284"/>
        <w:rPr>
          <w:lang w:bidi="en-GB"/>
        </w:rPr>
      </w:pPr>
      <w:r w:rsidRPr="00AE38CA">
        <w:rPr>
          <w:lang w:bidi="en-GB"/>
        </w:rPr>
        <w:t>the child is physically or cognitively unable to undergo schooling</w:t>
      </w:r>
      <w:r w:rsidR="00A60030" w:rsidRPr="00AE38CA">
        <w:rPr>
          <w:lang w:bidi="en-GB"/>
        </w:rPr>
        <w:t>;</w:t>
      </w:r>
    </w:p>
    <w:p w14:paraId="094431E8" w14:textId="3564FAF9" w:rsidR="007F6DC1" w:rsidRPr="00AE38CA" w:rsidRDefault="007F6DC1" w:rsidP="001965B0">
      <w:pPr>
        <w:pStyle w:val="Plattetekst"/>
        <w:numPr>
          <w:ilvl w:val="0"/>
          <w:numId w:val="26"/>
        </w:numPr>
        <w:ind w:left="284" w:hanging="284"/>
        <w:rPr>
          <w:lang w:bidi="en-GB"/>
        </w:rPr>
      </w:pPr>
      <w:r w:rsidRPr="00AE38CA">
        <w:rPr>
          <w:lang w:bidi="en-GB"/>
        </w:rPr>
        <w:t>parents favo</w:t>
      </w:r>
      <w:r w:rsidR="00A60030" w:rsidRPr="00AE38CA">
        <w:rPr>
          <w:lang w:bidi="en-GB"/>
        </w:rPr>
        <w:t>u</w:t>
      </w:r>
      <w:r w:rsidRPr="00AE38CA">
        <w:rPr>
          <w:lang w:bidi="en-GB"/>
        </w:rPr>
        <w:t>r a different outlook on life than the schools located within the area where the parents reside</w:t>
      </w:r>
      <w:r w:rsidR="00A60030" w:rsidRPr="00AE38CA">
        <w:rPr>
          <w:lang w:bidi="en-GB"/>
        </w:rPr>
        <w:t>;</w:t>
      </w:r>
    </w:p>
    <w:p w14:paraId="183B4AE7" w14:textId="77777777" w:rsidR="007F6DC1" w:rsidRPr="00AE38CA" w:rsidRDefault="007F6DC1" w:rsidP="001965B0">
      <w:pPr>
        <w:pStyle w:val="Plattetekst"/>
        <w:numPr>
          <w:ilvl w:val="0"/>
          <w:numId w:val="26"/>
        </w:numPr>
        <w:ind w:left="284" w:hanging="284"/>
        <w:rPr>
          <w:lang w:bidi="en-GB"/>
        </w:rPr>
      </w:pPr>
      <w:r w:rsidRPr="00AE38CA">
        <w:rPr>
          <w:lang w:bidi="en-GB"/>
        </w:rPr>
        <w:t xml:space="preserve">the child is registered at a foreign school (this mainly occurs around the Dutch border zone). </w:t>
      </w:r>
    </w:p>
    <w:p w14:paraId="35B54D8B" w14:textId="1F67B31B" w:rsidR="007F6DC1" w:rsidRPr="00AE38CA" w:rsidRDefault="007F6DC1" w:rsidP="007F6DC1">
      <w:pPr>
        <w:pStyle w:val="Plattetekst"/>
        <w:rPr>
          <w:lang w:bidi="en-GB"/>
        </w:rPr>
      </w:pPr>
      <w:r w:rsidRPr="00AE38CA">
        <w:rPr>
          <w:lang w:bidi="en-GB"/>
        </w:rPr>
        <w:t xml:space="preserve">Over recent years, various measures have been implemented to </w:t>
      </w:r>
      <w:r w:rsidR="001F2753" w:rsidRPr="00AE38CA">
        <w:rPr>
          <w:lang w:bidi="en-GB"/>
        </w:rPr>
        <w:t xml:space="preserve">decrease </w:t>
      </w:r>
      <w:r w:rsidRPr="00AE38CA">
        <w:rPr>
          <w:lang w:bidi="en-GB"/>
        </w:rPr>
        <w:t xml:space="preserve">the number of </w:t>
      </w:r>
      <w:r w:rsidR="001F2753" w:rsidRPr="00AE38CA">
        <w:rPr>
          <w:lang w:bidi="en-GB"/>
        </w:rPr>
        <w:t xml:space="preserve">pupils </w:t>
      </w:r>
      <w:r w:rsidRPr="00AE38CA">
        <w:rPr>
          <w:lang w:bidi="en-GB"/>
        </w:rPr>
        <w:t xml:space="preserve">who fail to attend school. In addition, municipalities </w:t>
      </w:r>
      <w:r w:rsidR="001F2753" w:rsidRPr="00AE38CA">
        <w:rPr>
          <w:lang w:bidi="en-GB"/>
        </w:rPr>
        <w:t xml:space="preserve">have been </w:t>
      </w:r>
      <w:r w:rsidRPr="00AE38CA">
        <w:rPr>
          <w:lang w:bidi="en-GB"/>
        </w:rPr>
        <w:t xml:space="preserve">encouraged to become stricter in exempting children from attending school. </w:t>
      </w:r>
    </w:p>
    <w:p w14:paraId="076CAE3B" w14:textId="77777777" w:rsidR="00164C22" w:rsidRPr="00AE38CA" w:rsidRDefault="00164C22" w:rsidP="00164C22">
      <w:pPr>
        <w:pStyle w:val="Plattetekst"/>
        <w:rPr>
          <w:b/>
          <w:lang w:bidi="en-GB"/>
        </w:rPr>
      </w:pPr>
      <w:r w:rsidRPr="00AE38CA">
        <w:rPr>
          <w:b/>
          <w:lang w:bidi="en-GB"/>
        </w:rPr>
        <w:t>Measures for specific target groups</w:t>
      </w:r>
    </w:p>
    <w:p w14:paraId="6F64D403" w14:textId="77777777" w:rsidR="00164C22" w:rsidRPr="00AE38CA" w:rsidRDefault="00164C22" w:rsidP="00164C22">
      <w:pPr>
        <w:pStyle w:val="Plattetekst"/>
        <w:rPr>
          <w:lang w:bidi="en-GB"/>
        </w:rPr>
      </w:pPr>
      <w:r w:rsidRPr="00AE38CA">
        <w:rPr>
          <w:i/>
          <w:lang w:bidi="en-GB"/>
        </w:rPr>
        <w:t>Children living in precarious family situations</w:t>
      </w:r>
    </w:p>
    <w:p w14:paraId="0A267B58" w14:textId="5B6B4573" w:rsidR="007F6DC1" w:rsidRPr="00AE38CA" w:rsidRDefault="00BB762B" w:rsidP="007F6DC1">
      <w:pPr>
        <w:pStyle w:val="Plattetekst"/>
        <w:rPr>
          <w:lang w:bidi="en-GB"/>
        </w:rPr>
      </w:pPr>
      <w:r w:rsidRPr="00AE38CA">
        <w:rPr>
          <w:lang w:bidi="en-GB"/>
        </w:rPr>
        <w:t>T</w:t>
      </w:r>
      <w:r w:rsidR="007F6DC1" w:rsidRPr="00AE38CA">
        <w:rPr>
          <w:lang w:bidi="en-GB"/>
        </w:rPr>
        <w:t>he Dutch government provides school</w:t>
      </w:r>
      <w:r w:rsidR="002A436D" w:rsidRPr="00AE38CA">
        <w:rPr>
          <w:lang w:bidi="en-GB"/>
        </w:rPr>
        <w:t xml:space="preserve"> governors </w:t>
      </w:r>
      <w:r w:rsidR="007F6DC1" w:rsidRPr="00AE38CA">
        <w:rPr>
          <w:lang w:bidi="en-GB"/>
        </w:rPr>
        <w:t xml:space="preserve">and local municipalities with funding to tackle educational disadvantage. The allocation of funding is based on the number of </w:t>
      </w:r>
      <w:r w:rsidR="002A436D" w:rsidRPr="00AE38CA">
        <w:rPr>
          <w:lang w:bidi="en-GB"/>
        </w:rPr>
        <w:t xml:space="preserve">pupils </w:t>
      </w:r>
      <w:r w:rsidR="007F6DC1" w:rsidRPr="00AE38CA">
        <w:rPr>
          <w:lang w:bidi="en-GB"/>
        </w:rPr>
        <w:t xml:space="preserve">identified as at risk of educational disadvantage. Identification of such </w:t>
      </w:r>
      <w:r w:rsidR="00461CB0" w:rsidRPr="00AE38CA">
        <w:rPr>
          <w:lang w:bidi="en-GB"/>
        </w:rPr>
        <w:t xml:space="preserve">pupils </w:t>
      </w:r>
      <w:r w:rsidR="007F6DC1" w:rsidRPr="00AE38CA">
        <w:rPr>
          <w:lang w:bidi="en-GB"/>
        </w:rPr>
        <w:t>includ</w:t>
      </w:r>
      <w:r w:rsidR="00214912" w:rsidRPr="00AE38CA">
        <w:rPr>
          <w:lang w:bidi="en-GB"/>
        </w:rPr>
        <w:t>e</w:t>
      </w:r>
      <w:r w:rsidR="00461CB0" w:rsidRPr="00AE38CA">
        <w:rPr>
          <w:lang w:bidi="en-GB"/>
        </w:rPr>
        <w:t>s</w:t>
      </w:r>
      <w:r w:rsidR="007F6DC1" w:rsidRPr="00AE38CA">
        <w:rPr>
          <w:lang w:bidi="en-GB"/>
        </w:rPr>
        <w:t xml:space="preserve"> indicators associated with precarious family situations. The allocation of funding differs per school sector. For example primary schools partly receive funding based on the parents’ highest education </w:t>
      </w:r>
      <w:r w:rsidR="00461CB0" w:rsidRPr="00AE38CA">
        <w:rPr>
          <w:lang w:bidi="en-GB"/>
        </w:rPr>
        <w:t xml:space="preserve">degree </w:t>
      </w:r>
      <w:r w:rsidR="007F6DC1" w:rsidRPr="00AE38CA">
        <w:rPr>
          <w:lang w:bidi="en-GB"/>
        </w:rPr>
        <w:t xml:space="preserve">and the postcode area where the school is located. </w:t>
      </w:r>
      <w:r w:rsidR="00A307EC" w:rsidRPr="00AE38CA">
        <w:rPr>
          <w:lang w:bidi="en-GB"/>
        </w:rPr>
        <w:t xml:space="preserve">In </w:t>
      </w:r>
      <w:r w:rsidR="007F6DC1" w:rsidRPr="00AE38CA">
        <w:rPr>
          <w:lang w:bidi="en-GB"/>
        </w:rPr>
        <w:t xml:space="preserve">2019, this system </w:t>
      </w:r>
      <w:r w:rsidR="00A307EC" w:rsidRPr="00AE38CA">
        <w:rPr>
          <w:lang w:bidi="en-GB"/>
        </w:rPr>
        <w:t>wa</w:t>
      </w:r>
      <w:r w:rsidR="007F6DC1" w:rsidRPr="00AE38CA">
        <w:rPr>
          <w:lang w:bidi="en-GB"/>
        </w:rPr>
        <w:t xml:space="preserve">s replaced by a system based on a combination of (socio-economic) characteristics of children, their parents, the local area and the school. </w:t>
      </w:r>
    </w:p>
    <w:p w14:paraId="01568303" w14:textId="526D211A" w:rsidR="007F6DC1" w:rsidRPr="00AE38CA" w:rsidRDefault="007F6DC1" w:rsidP="007F6DC1">
      <w:pPr>
        <w:pStyle w:val="Plattetekst"/>
        <w:rPr>
          <w:lang w:bidi="en-GB"/>
        </w:rPr>
      </w:pPr>
      <w:r w:rsidRPr="00AE38CA">
        <w:rPr>
          <w:lang w:bidi="en-GB"/>
        </w:rPr>
        <w:t xml:space="preserve">Secondary schools receive funding depending on the number of </w:t>
      </w:r>
      <w:r w:rsidR="00200280" w:rsidRPr="00AE38CA">
        <w:rPr>
          <w:lang w:bidi="en-GB"/>
        </w:rPr>
        <w:t xml:space="preserve">pupils </w:t>
      </w:r>
      <w:r w:rsidRPr="00AE38CA">
        <w:rPr>
          <w:lang w:bidi="en-GB"/>
        </w:rPr>
        <w:t>from postcode areas associated with a strong presence of low</w:t>
      </w:r>
      <w:r w:rsidR="00642FB1" w:rsidRPr="00AE38CA">
        <w:rPr>
          <w:lang w:bidi="en-GB"/>
        </w:rPr>
        <w:t>-</w:t>
      </w:r>
      <w:r w:rsidRPr="00AE38CA">
        <w:rPr>
          <w:lang w:bidi="en-GB"/>
        </w:rPr>
        <w:t xml:space="preserve">income households, households receiving social welfare support, and non-western immigrant households. </w:t>
      </w:r>
    </w:p>
    <w:p w14:paraId="0D507CE9" w14:textId="5BE3C0EE" w:rsidR="007F6DC1" w:rsidRPr="00AE38CA" w:rsidRDefault="007F6DC1" w:rsidP="007F6DC1">
      <w:pPr>
        <w:pStyle w:val="Plattetekst"/>
        <w:rPr>
          <w:szCs w:val="16"/>
        </w:rPr>
      </w:pPr>
      <w:r w:rsidRPr="00AE38CA">
        <w:rPr>
          <w:i/>
          <w:lang w:bidi="en-GB"/>
        </w:rPr>
        <w:t>Children of recent migrants and refugees</w:t>
      </w:r>
      <w:r w:rsidR="0023677F" w:rsidRPr="00AE38CA">
        <w:rPr>
          <w:i/>
          <w:lang w:bidi="en-GB"/>
        </w:rPr>
        <w:t xml:space="preserve"> (</w:t>
      </w:r>
      <w:r w:rsidR="0023677F" w:rsidRPr="00AE38CA">
        <w:rPr>
          <w:i/>
          <w:szCs w:val="16"/>
        </w:rPr>
        <w:t>Cited from Klaver et a</w:t>
      </w:r>
      <w:r w:rsidR="006B27D9" w:rsidRPr="00AE38CA">
        <w:rPr>
          <w:i/>
          <w:szCs w:val="16"/>
        </w:rPr>
        <w:t>l., 2016)</w:t>
      </w:r>
    </w:p>
    <w:p w14:paraId="63D4A9AB" w14:textId="14C53E1A" w:rsidR="007F6DC1" w:rsidRPr="00AE38CA" w:rsidRDefault="007F6DC1" w:rsidP="007F6DC1">
      <w:pPr>
        <w:pStyle w:val="Plattetekst"/>
        <w:rPr>
          <w:lang w:bidi="en-GB"/>
        </w:rPr>
      </w:pPr>
      <w:r w:rsidRPr="00AE38CA">
        <w:rPr>
          <w:lang w:bidi="en-GB"/>
        </w:rPr>
        <w:t xml:space="preserve">Minor children of asylum seekers, regardless of their status, are entitled to education. Within 3 months after arrival in the reception centre children </w:t>
      </w:r>
      <w:r w:rsidR="00642FB1" w:rsidRPr="00AE38CA">
        <w:rPr>
          <w:lang w:bidi="en-GB"/>
        </w:rPr>
        <w:t xml:space="preserve">aged </w:t>
      </w:r>
      <w:r w:rsidRPr="00AE38CA">
        <w:rPr>
          <w:lang w:bidi="en-GB"/>
        </w:rPr>
        <w:t>5</w:t>
      </w:r>
      <w:r w:rsidR="00642FB1" w:rsidRPr="00AE38CA">
        <w:rPr>
          <w:lang w:bidi="en-GB"/>
        </w:rPr>
        <w:t>-</w:t>
      </w:r>
      <w:r w:rsidRPr="00AE38CA">
        <w:rPr>
          <w:lang w:bidi="en-GB"/>
        </w:rPr>
        <w:t>17 have to be enrolled in a school. Many reception centres have their own primary school but also designated regular schools receive refugee children. Generally</w:t>
      </w:r>
      <w:r w:rsidR="00A30486" w:rsidRPr="00AE38CA">
        <w:rPr>
          <w:lang w:bidi="en-GB"/>
        </w:rPr>
        <w:t>,</w:t>
      </w:r>
      <w:r w:rsidRPr="00AE38CA">
        <w:rPr>
          <w:lang w:bidi="en-GB"/>
        </w:rPr>
        <w:t xml:space="preserve"> special classes are formed at these schools for a period of one year in which the children learn the Dutch language. After this</w:t>
      </w:r>
      <w:r w:rsidR="0042235E" w:rsidRPr="00AE38CA">
        <w:rPr>
          <w:lang w:bidi="en-GB"/>
        </w:rPr>
        <w:t>,</w:t>
      </w:r>
      <w:r w:rsidRPr="00AE38CA">
        <w:rPr>
          <w:lang w:bidi="en-GB"/>
        </w:rPr>
        <w:t xml:space="preserve"> children are integrated in the regular school classes. Children who have to enrol in secondary education are first placed in an international intermediate class for one year before entering the regular </w:t>
      </w:r>
      <w:r w:rsidRPr="00AE38CA">
        <w:rPr>
          <w:lang w:bidi="en-GB"/>
        </w:rPr>
        <w:lastRenderedPageBreak/>
        <w:t>school system. Due to the rapid increase of asylum seekers in 2014 and 2015, the capacity of schools offering education to refugee children was strained. The national government provided additional funding for the provision of education to refugee children.</w:t>
      </w:r>
    </w:p>
    <w:p w14:paraId="707DF9B5" w14:textId="1FE67267" w:rsidR="00164C22" w:rsidRPr="00AE38CA" w:rsidRDefault="00164C22" w:rsidP="00164C22">
      <w:pPr>
        <w:pStyle w:val="Plattetekst"/>
        <w:rPr>
          <w:lang w:bidi="en-GB"/>
        </w:rPr>
      </w:pPr>
      <w:r w:rsidRPr="00AE38CA">
        <w:rPr>
          <w:i/>
          <w:lang w:bidi="en-GB"/>
        </w:rPr>
        <w:t>Children with disabilities and other children with special needs</w:t>
      </w:r>
    </w:p>
    <w:p w14:paraId="2BE186DF" w14:textId="77777777" w:rsidR="007F6DC1" w:rsidRPr="00AE38CA" w:rsidRDefault="007F6DC1" w:rsidP="007F6DC1">
      <w:pPr>
        <w:pStyle w:val="Plattetekst"/>
        <w:rPr>
          <w:lang w:bidi="en-GB"/>
        </w:rPr>
      </w:pPr>
      <w:r w:rsidRPr="00AE38CA">
        <w:rPr>
          <w:lang w:bidi="en-GB"/>
        </w:rPr>
        <w:t>Children with special needs can attend special education. For these children, a dedicated ‘development perspective’ will be drafted with three defined end goals:</w:t>
      </w:r>
    </w:p>
    <w:p w14:paraId="05FFE511" w14:textId="1161AB58" w:rsidR="007F6DC1" w:rsidRPr="00AE38CA" w:rsidRDefault="007F6DC1" w:rsidP="001965B0">
      <w:pPr>
        <w:pStyle w:val="Plattetekst"/>
        <w:numPr>
          <w:ilvl w:val="0"/>
          <w:numId w:val="26"/>
        </w:numPr>
        <w:ind w:left="284" w:hanging="284"/>
        <w:rPr>
          <w:lang w:bidi="en-GB"/>
        </w:rPr>
      </w:pPr>
      <w:r w:rsidRPr="00AE38CA">
        <w:rPr>
          <w:lang w:bidi="en-GB"/>
        </w:rPr>
        <w:t>obtaining a certificate</w:t>
      </w:r>
      <w:r w:rsidR="00A30486" w:rsidRPr="00AE38CA">
        <w:rPr>
          <w:lang w:bidi="en-GB"/>
        </w:rPr>
        <w:t>;</w:t>
      </w:r>
    </w:p>
    <w:p w14:paraId="45037EAA" w14:textId="6AF7170C" w:rsidR="007F6DC1" w:rsidRPr="00AE38CA" w:rsidRDefault="007F6DC1" w:rsidP="001965B0">
      <w:pPr>
        <w:pStyle w:val="Plattetekst"/>
        <w:numPr>
          <w:ilvl w:val="0"/>
          <w:numId w:val="26"/>
        </w:numPr>
        <w:ind w:left="284" w:hanging="284"/>
        <w:rPr>
          <w:lang w:bidi="en-GB"/>
        </w:rPr>
      </w:pPr>
      <w:r w:rsidRPr="00AE38CA">
        <w:rPr>
          <w:lang w:bidi="en-GB"/>
        </w:rPr>
        <w:t>finding employment</w:t>
      </w:r>
      <w:r w:rsidR="00A30486" w:rsidRPr="00AE38CA">
        <w:rPr>
          <w:lang w:bidi="en-GB"/>
        </w:rPr>
        <w:t>;</w:t>
      </w:r>
    </w:p>
    <w:p w14:paraId="321F1028" w14:textId="77777777" w:rsidR="007F6DC1" w:rsidRPr="00AE38CA" w:rsidRDefault="007F6DC1" w:rsidP="001965B0">
      <w:pPr>
        <w:pStyle w:val="Plattetekst"/>
        <w:numPr>
          <w:ilvl w:val="0"/>
          <w:numId w:val="26"/>
        </w:numPr>
        <w:ind w:left="284" w:hanging="284"/>
        <w:rPr>
          <w:lang w:bidi="en-GB"/>
        </w:rPr>
      </w:pPr>
      <w:r w:rsidRPr="00AE38CA">
        <w:rPr>
          <w:lang w:bidi="en-GB"/>
        </w:rPr>
        <w:t xml:space="preserve">engaging in social activities. </w:t>
      </w:r>
    </w:p>
    <w:p w14:paraId="6CBBA48C" w14:textId="052CCD2E" w:rsidR="007F6DC1" w:rsidRPr="00AE38CA" w:rsidRDefault="007F6DC1" w:rsidP="007F6DC1">
      <w:pPr>
        <w:pStyle w:val="Plattetekst"/>
        <w:rPr>
          <w:lang w:bidi="en-GB"/>
        </w:rPr>
      </w:pPr>
      <w:r w:rsidRPr="00AE38CA">
        <w:rPr>
          <w:lang w:bidi="en-GB"/>
        </w:rPr>
        <w:t>Special primary schools (</w:t>
      </w:r>
      <w:r w:rsidRPr="00AE38CA">
        <w:rPr>
          <w:i/>
          <w:lang w:bidi="en-GB"/>
        </w:rPr>
        <w:t>sbo-schools</w:t>
      </w:r>
      <w:r w:rsidRPr="00AE38CA">
        <w:rPr>
          <w:lang w:bidi="en-GB"/>
        </w:rPr>
        <w:t xml:space="preserve">) are for children up to the age of 14 with special cognitive needs, children with special </w:t>
      </w:r>
      <w:r w:rsidR="00F63FE0" w:rsidRPr="00AE38CA">
        <w:rPr>
          <w:lang w:bidi="en-GB"/>
        </w:rPr>
        <w:t>behavioural</w:t>
      </w:r>
      <w:r w:rsidRPr="00AE38CA">
        <w:rPr>
          <w:lang w:bidi="en-GB"/>
        </w:rPr>
        <w:t xml:space="preserve"> needs and special needs in their upbringing in general. Children attending </w:t>
      </w:r>
      <w:r w:rsidR="00A81ADC" w:rsidRPr="00AE38CA">
        <w:rPr>
          <w:lang w:bidi="en-GB"/>
        </w:rPr>
        <w:t xml:space="preserve">special primary </w:t>
      </w:r>
      <w:r w:rsidRPr="00AE38CA">
        <w:rPr>
          <w:lang w:bidi="en-GB"/>
        </w:rPr>
        <w:t xml:space="preserve">schools will follow the same curriculum as their counterparts in mainstream primary schools, but at a slower pace. After attending sbo-schooling, children can either </w:t>
      </w:r>
      <w:r w:rsidR="00F63FE0" w:rsidRPr="00AE38CA">
        <w:rPr>
          <w:lang w:bidi="en-GB"/>
        </w:rPr>
        <w:t>enrol</w:t>
      </w:r>
      <w:r w:rsidRPr="00AE38CA">
        <w:rPr>
          <w:lang w:bidi="en-GB"/>
        </w:rPr>
        <w:t xml:space="preserve"> </w:t>
      </w:r>
      <w:r w:rsidR="00424794" w:rsidRPr="00AE38CA">
        <w:rPr>
          <w:lang w:bidi="en-GB"/>
        </w:rPr>
        <w:t xml:space="preserve">in </w:t>
      </w:r>
      <w:r w:rsidRPr="00AE38CA">
        <w:rPr>
          <w:lang w:bidi="en-GB"/>
        </w:rPr>
        <w:t xml:space="preserve">a </w:t>
      </w:r>
      <w:r w:rsidR="00424794" w:rsidRPr="00AE38CA">
        <w:rPr>
          <w:lang w:bidi="en-GB"/>
        </w:rPr>
        <w:t xml:space="preserve">general </w:t>
      </w:r>
      <w:r w:rsidRPr="00AE38CA">
        <w:rPr>
          <w:lang w:bidi="en-GB"/>
        </w:rPr>
        <w:t>secondary school, or a special secondary school, or a vocational school.</w:t>
      </w:r>
    </w:p>
    <w:p w14:paraId="75A47CC7" w14:textId="77777777" w:rsidR="007F6DC1" w:rsidRPr="00AE38CA" w:rsidRDefault="007F6DC1" w:rsidP="007F6DC1">
      <w:pPr>
        <w:pStyle w:val="Plattetekst"/>
        <w:rPr>
          <w:lang w:bidi="en-GB"/>
        </w:rPr>
      </w:pPr>
      <w:r w:rsidRPr="00AE38CA">
        <w:rPr>
          <w:lang w:bidi="en-GB"/>
        </w:rPr>
        <w:t xml:space="preserve">Special education comprises four different ‘clusters’: </w:t>
      </w:r>
    </w:p>
    <w:p w14:paraId="4253CA1D" w14:textId="58C969C5" w:rsidR="007F6DC1" w:rsidRPr="00AE38CA" w:rsidRDefault="007F6DC1" w:rsidP="001965B0">
      <w:pPr>
        <w:pStyle w:val="Plattetekst"/>
        <w:numPr>
          <w:ilvl w:val="0"/>
          <w:numId w:val="26"/>
        </w:numPr>
        <w:ind w:left="284" w:hanging="284"/>
        <w:rPr>
          <w:lang w:bidi="en-GB"/>
        </w:rPr>
      </w:pPr>
      <w:r w:rsidRPr="00AE38CA">
        <w:rPr>
          <w:lang w:bidi="en-GB"/>
        </w:rPr>
        <w:t xml:space="preserve">cluster 1: education for </w:t>
      </w:r>
      <w:r w:rsidR="000273B6" w:rsidRPr="00AE38CA">
        <w:rPr>
          <w:lang w:bidi="en-GB"/>
        </w:rPr>
        <w:t xml:space="preserve">pupils </w:t>
      </w:r>
      <w:r w:rsidRPr="00AE38CA">
        <w:rPr>
          <w:lang w:bidi="en-GB"/>
        </w:rPr>
        <w:t>with visual impairments</w:t>
      </w:r>
      <w:r w:rsidR="000273B6" w:rsidRPr="00AE38CA">
        <w:rPr>
          <w:lang w:bidi="en-GB"/>
        </w:rPr>
        <w:t>;</w:t>
      </w:r>
    </w:p>
    <w:p w14:paraId="237DA310" w14:textId="41EB7F16" w:rsidR="007F6DC1" w:rsidRPr="00AE38CA" w:rsidRDefault="007F6DC1" w:rsidP="001965B0">
      <w:pPr>
        <w:pStyle w:val="Plattetekst"/>
        <w:numPr>
          <w:ilvl w:val="0"/>
          <w:numId w:val="26"/>
        </w:numPr>
        <w:ind w:left="284" w:hanging="284"/>
        <w:rPr>
          <w:lang w:bidi="en-GB"/>
        </w:rPr>
      </w:pPr>
      <w:r w:rsidRPr="00AE38CA">
        <w:rPr>
          <w:lang w:bidi="en-GB"/>
        </w:rPr>
        <w:t xml:space="preserve">cluster 2: education for </w:t>
      </w:r>
      <w:r w:rsidR="000273B6" w:rsidRPr="00AE38CA">
        <w:rPr>
          <w:lang w:bidi="en-GB"/>
        </w:rPr>
        <w:t xml:space="preserve">pupils </w:t>
      </w:r>
      <w:r w:rsidRPr="00AE38CA">
        <w:rPr>
          <w:lang w:bidi="en-GB"/>
        </w:rPr>
        <w:t>with hearing impairments or communicative disabilities</w:t>
      </w:r>
      <w:r w:rsidR="000273B6" w:rsidRPr="00AE38CA">
        <w:rPr>
          <w:lang w:bidi="en-GB"/>
        </w:rPr>
        <w:t>;</w:t>
      </w:r>
    </w:p>
    <w:p w14:paraId="25E55F33" w14:textId="6E7126AF" w:rsidR="007F6DC1" w:rsidRPr="00AE38CA" w:rsidRDefault="007F6DC1" w:rsidP="001965B0">
      <w:pPr>
        <w:pStyle w:val="Plattetekst"/>
        <w:numPr>
          <w:ilvl w:val="0"/>
          <w:numId w:val="26"/>
        </w:numPr>
        <w:ind w:left="284" w:hanging="284"/>
        <w:rPr>
          <w:lang w:bidi="en-GB"/>
        </w:rPr>
      </w:pPr>
      <w:r w:rsidRPr="00AE38CA">
        <w:rPr>
          <w:lang w:bidi="en-GB"/>
        </w:rPr>
        <w:t xml:space="preserve">cluster 3: education for </w:t>
      </w:r>
      <w:r w:rsidR="000273B6" w:rsidRPr="00AE38CA">
        <w:rPr>
          <w:lang w:bidi="en-GB"/>
        </w:rPr>
        <w:t>pupil</w:t>
      </w:r>
      <w:r w:rsidRPr="00AE38CA">
        <w:rPr>
          <w:lang w:bidi="en-GB"/>
        </w:rPr>
        <w:t>s with physical, intellectual and multiple disabilities</w:t>
      </w:r>
      <w:r w:rsidR="000273B6" w:rsidRPr="00AE38CA">
        <w:rPr>
          <w:lang w:bidi="en-GB"/>
        </w:rPr>
        <w:t>,</w:t>
      </w:r>
      <w:r w:rsidRPr="00AE38CA">
        <w:rPr>
          <w:lang w:bidi="en-GB"/>
        </w:rPr>
        <w:t xml:space="preserve"> and chronically ill </w:t>
      </w:r>
      <w:r w:rsidR="00905554" w:rsidRPr="00AE38CA">
        <w:rPr>
          <w:lang w:bidi="en-GB"/>
        </w:rPr>
        <w:t>pupils;</w:t>
      </w:r>
    </w:p>
    <w:p w14:paraId="6B81FED1" w14:textId="06382AD1" w:rsidR="007F6DC1" w:rsidRPr="00AE38CA" w:rsidRDefault="007F6DC1" w:rsidP="001965B0">
      <w:pPr>
        <w:pStyle w:val="Plattetekst"/>
        <w:numPr>
          <w:ilvl w:val="0"/>
          <w:numId w:val="26"/>
        </w:numPr>
        <w:ind w:left="284" w:hanging="284"/>
        <w:rPr>
          <w:lang w:bidi="en-GB"/>
        </w:rPr>
      </w:pPr>
      <w:r w:rsidRPr="00AE38CA">
        <w:rPr>
          <w:lang w:bidi="en-GB"/>
        </w:rPr>
        <w:t xml:space="preserve">cluster 4: education for </w:t>
      </w:r>
      <w:r w:rsidR="00905554" w:rsidRPr="00AE38CA">
        <w:rPr>
          <w:lang w:bidi="en-GB"/>
        </w:rPr>
        <w:t xml:space="preserve">pupils </w:t>
      </w:r>
      <w:r w:rsidRPr="00AE38CA">
        <w:rPr>
          <w:lang w:bidi="en-GB"/>
        </w:rPr>
        <w:t xml:space="preserve">with behavioural disorders, for </w:t>
      </w:r>
      <w:r w:rsidR="00905554" w:rsidRPr="00AE38CA">
        <w:rPr>
          <w:lang w:bidi="en-GB"/>
        </w:rPr>
        <w:t xml:space="preserve">pupils </w:t>
      </w:r>
      <w:r w:rsidRPr="00AE38CA">
        <w:rPr>
          <w:lang w:bidi="en-GB"/>
        </w:rPr>
        <w:t xml:space="preserve">with severe disabilities, chronically ill (psychiatric) </w:t>
      </w:r>
      <w:r w:rsidR="00905554" w:rsidRPr="00AE38CA">
        <w:rPr>
          <w:lang w:bidi="en-GB"/>
        </w:rPr>
        <w:t>pupils</w:t>
      </w:r>
      <w:r w:rsidRPr="00AE38CA">
        <w:rPr>
          <w:lang w:bidi="en-GB"/>
        </w:rPr>
        <w:t>.</w:t>
      </w:r>
    </w:p>
    <w:p w14:paraId="75198937" w14:textId="097E710C" w:rsidR="007F6DC1" w:rsidRPr="00AE38CA" w:rsidRDefault="007F6DC1" w:rsidP="007F6DC1">
      <w:pPr>
        <w:pStyle w:val="Plattetekst"/>
      </w:pPr>
      <w:r w:rsidRPr="00AE38CA">
        <w:rPr>
          <w:lang w:bidi="en-GB"/>
        </w:rPr>
        <w:t xml:space="preserve">The overall national education policy aims to offer </w:t>
      </w:r>
      <w:r w:rsidR="007709A2" w:rsidRPr="00AE38CA">
        <w:rPr>
          <w:lang w:bidi="en-GB"/>
        </w:rPr>
        <w:t xml:space="preserve">general </w:t>
      </w:r>
      <w:r w:rsidRPr="00AE38CA">
        <w:rPr>
          <w:lang w:bidi="en-GB"/>
        </w:rPr>
        <w:t xml:space="preserve">schooling as much as possible to all children (Education that Fits Act, 2014). Special education schools and </w:t>
      </w:r>
      <w:r w:rsidR="007709A2" w:rsidRPr="00AE38CA">
        <w:rPr>
          <w:lang w:bidi="en-GB"/>
        </w:rPr>
        <w:t xml:space="preserve">general </w:t>
      </w:r>
      <w:r w:rsidRPr="00AE38CA">
        <w:rPr>
          <w:lang w:bidi="en-GB"/>
        </w:rPr>
        <w:t xml:space="preserve">schools generally collaborate at regional level to offer the right schooling to every child. </w:t>
      </w:r>
    </w:p>
    <w:p w14:paraId="7465258E" w14:textId="41B2472F" w:rsidR="00562109" w:rsidRPr="00AE38CA" w:rsidRDefault="00562109" w:rsidP="00562109">
      <w:pPr>
        <w:pStyle w:val="Plattetekst"/>
        <w:rPr>
          <w:b/>
          <w:lang w:bidi="en-GB"/>
        </w:rPr>
      </w:pPr>
      <w:r w:rsidRPr="00AE38CA">
        <w:rPr>
          <w:b/>
          <w:lang w:bidi="en-GB"/>
        </w:rPr>
        <w:t>Assessment and conclusions</w:t>
      </w:r>
    </w:p>
    <w:p w14:paraId="19200B9F" w14:textId="4587FF4B" w:rsidR="007F6DC1" w:rsidRPr="00AE38CA" w:rsidRDefault="007F6DC1" w:rsidP="007F6DC1">
      <w:pPr>
        <w:pStyle w:val="Plattetekst"/>
        <w:rPr>
          <w:color w:val="2F5496"/>
        </w:rPr>
      </w:pPr>
      <w:r w:rsidRPr="00AE38CA">
        <w:rPr>
          <w:lang w:bidi="en-GB"/>
        </w:rPr>
        <w:t>In the Netherlands, all children have the right to free education and are by law required to receive schooling. The current school system aims to offer appropriate schooling to every child within their local area and schooling that meets the child’s (and parents</w:t>
      </w:r>
      <w:r w:rsidR="00A81ADC" w:rsidRPr="00AE38CA">
        <w:rPr>
          <w:lang w:bidi="en-GB"/>
        </w:rPr>
        <w:t>’</w:t>
      </w:r>
      <w:r w:rsidRPr="00AE38CA">
        <w:rPr>
          <w:lang w:bidi="en-GB"/>
        </w:rPr>
        <w:t xml:space="preserve">) needs. In general, children receive high quality education tailored to their needs. However, inspection bodies and advisory boards do highlight some concerns. A summary of the key concerns for each target group is provided below: </w:t>
      </w:r>
    </w:p>
    <w:p w14:paraId="7D6A83D6" w14:textId="77777777" w:rsidR="00AE712F" w:rsidRPr="00AE38CA" w:rsidRDefault="00AE712F" w:rsidP="001965B0">
      <w:pPr>
        <w:pStyle w:val="Plattetekst"/>
        <w:numPr>
          <w:ilvl w:val="0"/>
          <w:numId w:val="36"/>
        </w:numPr>
        <w:rPr>
          <w:i/>
          <w:lang w:bidi="en-GB"/>
        </w:rPr>
      </w:pPr>
      <w:r w:rsidRPr="00AE38CA">
        <w:rPr>
          <w:i/>
          <w:lang w:bidi="en-GB"/>
        </w:rPr>
        <w:t>Children in precarious family situations</w:t>
      </w:r>
    </w:p>
    <w:p w14:paraId="0348BF6C" w14:textId="5CE1C0F2" w:rsidR="00AE712F" w:rsidRPr="00AE38CA" w:rsidRDefault="00AE712F" w:rsidP="00AE712F">
      <w:pPr>
        <w:pStyle w:val="Plattetekst"/>
        <w:rPr>
          <w:i/>
        </w:rPr>
      </w:pPr>
      <w:r w:rsidRPr="00AE38CA">
        <w:rPr>
          <w:lang w:bidi="en-GB"/>
        </w:rPr>
        <w:t>The Dutch Inspectorate of Education concluded in their most recent (2018</w:t>
      </w:r>
      <w:r w:rsidR="00EC0521" w:rsidRPr="00AE38CA">
        <w:rPr>
          <w:lang w:bidi="en-GB"/>
        </w:rPr>
        <w:t>a</w:t>
      </w:r>
      <w:r w:rsidRPr="00AE38CA">
        <w:rPr>
          <w:lang w:bidi="en-GB"/>
        </w:rPr>
        <w:t xml:space="preserve">) yearly report on the state of education that: </w:t>
      </w:r>
      <w:r w:rsidR="007709A2" w:rsidRPr="00AE38CA">
        <w:rPr>
          <w:i/>
          <w:lang w:bidi="en-GB"/>
        </w:rPr>
        <w:t>‘</w:t>
      </w:r>
      <w:r w:rsidRPr="00AE38CA">
        <w:rPr>
          <w:i/>
        </w:rPr>
        <w:t>Increasing inequality, major disparities between schools and the high degree of segregation show that the collective interest is all too easily subordinated to individual or organi</w:t>
      </w:r>
      <w:r w:rsidR="007709A2" w:rsidRPr="00AE38CA">
        <w:rPr>
          <w:i/>
        </w:rPr>
        <w:t>s</w:t>
      </w:r>
      <w:r w:rsidRPr="00AE38CA">
        <w:rPr>
          <w:i/>
        </w:rPr>
        <w:t>ed group interests. There are still many children in the Netherlands temporarily not receiving any form of formal schooling</w:t>
      </w:r>
      <w:r w:rsidR="00A81EAD" w:rsidRPr="00AE38CA">
        <w:rPr>
          <w:i/>
        </w:rPr>
        <w:t>;</w:t>
      </w:r>
      <w:r w:rsidRPr="00AE38CA">
        <w:rPr>
          <w:i/>
        </w:rPr>
        <w:t xml:space="preserve"> problems with the labour market or shrinking communities are regularly left to the market to solve and it is up to the local authority where you happen to live to determine what additional educational support provision you are entitled to receive.</w:t>
      </w:r>
      <w:r w:rsidRPr="00AE38CA">
        <w:t xml:space="preserve"> </w:t>
      </w:r>
      <w:r w:rsidR="00513552" w:rsidRPr="00AE38CA">
        <w:t>[</w:t>
      </w:r>
      <w:r w:rsidRPr="00AE38CA">
        <w:t>…</w:t>
      </w:r>
      <w:r w:rsidR="00331DD7" w:rsidRPr="00AE38CA">
        <w:t xml:space="preserve">] </w:t>
      </w:r>
      <w:r w:rsidRPr="00AE38CA">
        <w:rPr>
          <w:i/>
        </w:rPr>
        <w:t>In primary education, segregation is relatively clear-cut. Parents tend to choose schools with pupils from the same background as their own.</w:t>
      </w:r>
      <w:r w:rsidR="00A81EAD" w:rsidRPr="00AE38CA">
        <w:rPr>
          <w:i/>
        </w:rPr>
        <w:t xml:space="preserve"> </w:t>
      </w:r>
      <w:r w:rsidR="000726A3" w:rsidRPr="00AE38CA">
        <w:rPr>
          <w:i/>
        </w:rPr>
        <w:t>[</w:t>
      </w:r>
      <w:r w:rsidR="00A81EAD" w:rsidRPr="00AE38CA">
        <w:rPr>
          <w:i/>
        </w:rPr>
        <w:t>…</w:t>
      </w:r>
      <w:r w:rsidR="000726A3" w:rsidRPr="00AE38CA">
        <w:rPr>
          <w:i/>
        </w:rPr>
        <w:t>]</w:t>
      </w:r>
      <w:r w:rsidRPr="00AE38CA">
        <w:rPr>
          <w:i/>
        </w:rPr>
        <w:t xml:space="preserve"> University-educated parents, in particular, are more likely to send their children to schools already populated by pupils with a similar background. Segregation by parental income is also growing, although ethnic segregation is declining. And the extent of segregation varies widely by district.</w:t>
      </w:r>
      <w:r w:rsidR="00A81EAD" w:rsidRPr="00AE38CA">
        <w:rPr>
          <w:i/>
        </w:rPr>
        <w:t>’</w:t>
      </w:r>
    </w:p>
    <w:p w14:paraId="679BB587" w14:textId="77777777" w:rsidR="007F59E6" w:rsidRPr="00AE38CA" w:rsidRDefault="007F59E6">
      <w:pPr>
        <w:spacing w:after="0"/>
        <w:jc w:val="left"/>
        <w:rPr>
          <w:rFonts w:ascii="Verdana" w:hAnsi="Verdana"/>
          <w:i/>
          <w:sz w:val="20"/>
          <w:lang w:bidi="en-GB"/>
        </w:rPr>
      </w:pPr>
      <w:r w:rsidRPr="00AE38CA">
        <w:rPr>
          <w:i/>
          <w:lang w:bidi="en-GB"/>
        </w:rPr>
        <w:br w:type="page"/>
      </w:r>
    </w:p>
    <w:p w14:paraId="18E43C1F" w14:textId="585C4A50" w:rsidR="00AE712F" w:rsidRPr="00AE38CA" w:rsidRDefault="00AE712F" w:rsidP="001965B0">
      <w:pPr>
        <w:pStyle w:val="Plattetekst"/>
        <w:numPr>
          <w:ilvl w:val="0"/>
          <w:numId w:val="36"/>
        </w:numPr>
        <w:rPr>
          <w:i/>
        </w:rPr>
      </w:pPr>
      <w:r w:rsidRPr="00AE38CA">
        <w:rPr>
          <w:i/>
          <w:lang w:bidi="en-GB"/>
        </w:rPr>
        <w:lastRenderedPageBreak/>
        <w:t>Children of recent migrants and refugees</w:t>
      </w:r>
    </w:p>
    <w:p w14:paraId="561BCBC5" w14:textId="6E4AC83F" w:rsidR="00AE712F" w:rsidRPr="00AE38CA" w:rsidRDefault="00AE712F" w:rsidP="00AE712F">
      <w:pPr>
        <w:pStyle w:val="Plattetekst"/>
        <w:rPr>
          <w:i/>
        </w:rPr>
      </w:pPr>
      <w:r w:rsidRPr="00AE38CA">
        <w:t xml:space="preserve">The Education Council of the Netherlands </w:t>
      </w:r>
      <w:r w:rsidR="00813BA3" w:rsidRPr="00AE38CA">
        <w:t>(</w:t>
      </w:r>
      <w:r w:rsidR="00813BA3" w:rsidRPr="00AE38CA">
        <w:rPr>
          <w:i/>
        </w:rPr>
        <w:t>Onderwijsraad</w:t>
      </w:r>
      <w:r w:rsidR="00813BA3" w:rsidRPr="00AE38CA">
        <w:t xml:space="preserve">) </w:t>
      </w:r>
      <w:r w:rsidRPr="00AE38CA">
        <w:t>argues in their report ‘Refugees and Education’ (2017) that</w:t>
      </w:r>
      <w:r w:rsidRPr="00AE38CA">
        <w:rPr>
          <w:i/>
        </w:rPr>
        <w:t xml:space="preserve"> </w:t>
      </w:r>
      <w:r w:rsidR="00813BA3" w:rsidRPr="00AE38CA">
        <w:rPr>
          <w:i/>
        </w:rPr>
        <w:t>‘</w:t>
      </w:r>
      <w:r w:rsidRPr="00AE38CA">
        <w:rPr>
          <w:i/>
        </w:rPr>
        <w:t xml:space="preserve">the asylum policy should give greater priority to education, and that refugees should be offered a good level of basic services. </w:t>
      </w:r>
      <w:r w:rsidR="00C32732" w:rsidRPr="00AE38CA">
        <w:rPr>
          <w:i/>
        </w:rPr>
        <w:t xml:space="preserve">[….] </w:t>
      </w:r>
      <w:r w:rsidRPr="00AE38CA">
        <w:rPr>
          <w:i/>
        </w:rPr>
        <w:t>Refugees will continue to come to the Netherlands, sometimes in unexpectedly large numbers; the education system is currently inadequately prepared for this, leading to unacceptable delays in organising educational provision when refugees arrive in large numbers. […]</w:t>
      </w:r>
      <w:r w:rsidR="000C0775" w:rsidRPr="00AE38CA">
        <w:rPr>
          <w:i/>
        </w:rPr>
        <w:t xml:space="preserve"> </w:t>
      </w:r>
      <w:r w:rsidRPr="00AE38CA">
        <w:rPr>
          <w:i/>
        </w:rPr>
        <w:t>There are three areas of inefficiency in the teaching of refugees. First, their school careers are repeatedly interrupted or even halted due to the many times they have to move home during the asylum procedure. Second, there is too little sharing of knowledge in schools where refugees are first enrolled. Third, ad hoc policy creates all kinds of costs, with each region devising their own solutions when educational provision has to be organised quickly for large groups of refugees.</w:t>
      </w:r>
      <w:r w:rsidR="00135AD2" w:rsidRPr="00AE38CA">
        <w:rPr>
          <w:i/>
        </w:rPr>
        <w:t>’</w:t>
      </w:r>
    </w:p>
    <w:p w14:paraId="5A82BF7C" w14:textId="32CB64F5" w:rsidR="00AE712F" w:rsidRPr="00AE38CA" w:rsidRDefault="00AE712F" w:rsidP="001965B0">
      <w:pPr>
        <w:pStyle w:val="Plattetekst"/>
        <w:numPr>
          <w:ilvl w:val="0"/>
          <w:numId w:val="36"/>
        </w:numPr>
        <w:rPr>
          <w:i/>
          <w:lang w:bidi="en-GB"/>
        </w:rPr>
      </w:pPr>
      <w:r w:rsidRPr="00AE38CA">
        <w:rPr>
          <w:i/>
          <w:lang w:bidi="en-GB"/>
        </w:rPr>
        <w:t>Children with disabilities and other children with special needs</w:t>
      </w:r>
    </w:p>
    <w:p w14:paraId="64F8E0B8" w14:textId="4090D007" w:rsidR="007F6DC1" w:rsidRPr="00AE38CA" w:rsidRDefault="007F6DC1" w:rsidP="007F6DC1">
      <w:pPr>
        <w:pStyle w:val="Plattetekst"/>
      </w:pPr>
      <w:r w:rsidRPr="00AE38CA">
        <w:t>The Education Council of the Netherlands</w:t>
      </w:r>
      <w:r w:rsidR="0076277E" w:rsidRPr="00AE38CA">
        <w:t xml:space="preserve"> (2018b)</w:t>
      </w:r>
      <w:r w:rsidRPr="00AE38CA">
        <w:t xml:space="preserve"> recogni</w:t>
      </w:r>
      <w:r w:rsidR="000C492E" w:rsidRPr="00AE38CA">
        <w:t>s</w:t>
      </w:r>
      <w:r w:rsidRPr="00AE38CA">
        <w:t>ed the need for strengthening schooling for children with special needs. For example, available special schooling is limited and the regional partnerships between key stakeholders need to be improved.</w:t>
      </w:r>
    </w:p>
    <w:p w14:paraId="3AD1E988" w14:textId="255058F2" w:rsidR="007F6DC1" w:rsidRPr="00AE38CA" w:rsidRDefault="007F6DC1" w:rsidP="007F6DC1">
      <w:pPr>
        <w:pStyle w:val="Plattetekst"/>
      </w:pPr>
      <w:r w:rsidRPr="00AE38CA">
        <w:t xml:space="preserve">The </w:t>
      </w:r>
      <w:r w:rsidR="006F2A08" w:rsidRPr="00AE38CA">
        <w:t xml:space="preserve">Education </w:t>
      </w:r>
      <w:r w:rsidRPr="00AE38CA">
        <w:t xml:space="preserve">Council recommends increased efforts to </w:t>
      </w:r>
      <w:r w:rsidR="0022237A" w:rsidRPr="00AE38CA">
        <w:t xml:space="preserve">expand </w:t>
      </w:r>
      <w:r w:rsidR="003F14CE" w:rsidRPr="00AE38CA">
        <w:t xml:space="preserve">special education provision </w:t>
      </w:r>
      <w:r w:rsidRPr="00AE38CA">
        <w:t>for children with complex needs, such as children with autism</w:t>
      </w:r>
      <w:r w:rsidR="001D57F7" w:rsidRPr="00AE38CA">
        <w:t>,</w:t>
      </w:r>
      <w:r w:rsidRPr="00AE38CA">
        <w:t xml:space="preserve"> enabling them to attend higher school levels, </w:t>
      </w:r>
      <w:r w:rsidR="00806E40" w:rsidRPr="00AE38CA">
        <w:t xml:space="preserve">and </w:t>
      </w:r>
      <w:r w:rsidRPr="00AE38CA">
        <w:t>children with severe psychological or behavio</w:t>
      </w:r>
      <w:r w:rsidR="001D57F7" w:rsidRPr="00AE38CA">
        <w:t>u</w:t>
      </w:r>
      <w:r w:rsidRPr="00AE38CA">
        <w:t xml:space="preserve">ral needs and severe cognitive needs. In order to </w:t>
      </w:r>
      <w:r w:rsidR="0022237A" w:rsidRPr="00AE38CA">
        <w:t xml:space="preserve">expand </w:t>
      </w:r>
      <w:r w:rsidR="00F07E2B" w:rsidRPr="00AE38CA">
        <w:t>special education provision</w:t>
      </w:r>
      <w:r w:rsidRPr="00AE38CA">
        <w:t>, the council advises stronger partnerships between the education sector and youth health</w:t>
      </w:r>
      <w:r w:rsidR="00DB223A" w:rsidRPr="00AE38CA">
        <w:t xml:space="preserve"> </w:t>
      </w:r>
      <w:r w:rsidRPr="00AE38CA">
        <w:t xml:space="preserve">care sector. </w:t>
      </w:r>
    </w:p>
    <w:p w14:paraId="21F8D575" w14:textId="21D31075" w:rsidR="007F6DC1" w:rsidRPr="00AE38CA" w:rsidRDefault="007F6DC1" w:rsidP="007F6DC1">
      <w:pPr>
        <w:pStyle w:val="Plattetekst"/>
      </w:pPr>
      <w:r w:rsidRPr="00AE38CA">
        <w:t xml:space="preserve">Another noteworthy concern is </w:t>
      </w:r>
      <w:r w:rsidR="00B329C5" w:rsidRPr="00AE38CA">
        <w:t xml:space="preserve">related </w:t>
      </w:r>
      <w:r w:rsidRPr="00AE38CA">
        <w:t>to regional discrepancies in the organi</w:t>
      </w:r>
      <w:r w:rsidR="00B329C5" w:rsidRPr="00AE38CA">
        <w:t>s</w:t>
      </w:r>
      <w:r w:rsidRPr="00AE38CA">
        <w:t>ation and implementation of special education. These discrepancies are partly a result of the decentrali</w:t>
      </w:r>
      <w:r w:rsidR="00B329C5" w:rsidRPr="00AE38CA">
        <w:t>s</w:t>
      </w:r>
      <w:r w:rsidRPr="00AE38CA">
        <w:t xml:space="preserve">ation </w:t>
      </w:r>
      <w:r w:rsidR="003856A9" w:rsidRPr="00AE38CA">
        <w:t xml:space="preserve">and </w:t>
      </w:r>
      <w:r w:rsidRPr="00AE38CA">
        <w:t xml:space="preserve">shifting </w:t>
      </w:r>
      <w:r w:rsidR="003856A9" w:rsidRPr="00AE38CA">
        <w:t xml:space="preserve">of </w:t>
      </w:r>
      <w:r w:rsidRPr="00AE38CA">
        <w:t xml:space="preserve">responsibilities to local partnership levels. The </w:t>
      </w:r>
      <w:r w:rsidR="006F2A08" w:rsidRPr="00AE38CA">
        <w:t xml:space="preserve">Education </w:t>
      </w:r>
      <w:r w:rsidRPr="00AE38CA">
        <w:t xml:space="preserve">Council acknowledges that local responsibility will enable more local and tailored solutions, but it has also led to discrepancies between regions. Therefore, the </w:t>
      </w:r>
      <w:r w:rsidR="006F2A08" w:rsidRPr="00AE38CA">
        <w:t xml:space="preserve">Education </w:t>
      </w:r>
      <w:r w:rsidRPr="00AE38CA">
        <w:t>Council recommends monitoring these discrepancies and address</w:t>
      </w:r>
      <w:r w:rsidR="009F2963" w:rsidRPr="00AE38CA">
        <w:t>ing</w:t>
      </w:r>
      <w:r w:rsidRPr="00AE38CA">
        <w:t xml:space="preserve"> this issue when developing a renewed special school system. </w:t>
      </w:r>
    </w:p>
    <w:p w14:paraId="03A44172" w14:textId="0E96F378" w:rsidR="00164C22" w:rsidRPr="00AE38CA" w:rsidRDefault="00164C22" w:rsidP="009A645F">
      <w:pPr>
        <w:pStyle w:val="Kop2"/>
      </w:pPr>
      <w:bookmarkStart w:id="10" w:name="_Ref1743894"/>
      <w:r w:rsidRPr="00AE38CA">
        <w:t>Description and assessment of main policies in place and recommendations for improvements to ensure access to free health</w:t>
      </w:r>
      <w:r w:rsidR="008D431B" w:rsidRPr="00AE38CA">
        <w:t xml:space="preserve"> </w:t>
      </w:r>
      <w:r w:rsidRPr="00AE38CA">
        <w:t xml:space="preserve">care </w:t>
      </w:r>
      <w:bookmarkEnd w:id="10"/>
    </w:p>
    <w:p w14:paraId="22279419" w14:textId="42258E9F" w:rsidR="009519EC" w:rsidRPr="00AE38CA" w:rsidRDefault="009519EC" w:rsidP="000A56CF">
      <w:pPr>
        <w:pStyle w:val="Normaalweb"/>
        <w:shd w:val="clear" w:color="auto" w:fill="FFFFFF"/>
        <w:rPr>
          <w:rFonts w:ascii="Verdana" w:hAnsi="Verdana" w:cs="Arial"/>
          <w:b/>
          <w:sz w:val="20"/>
          <w:szCs w:val="20"/>
          <w:lang w:val="en-GB"/>
        </w:rPr>
      </w:pPr>
      <w:r w:rsidRPr="00AE38CA">
        <w:rPr>
          <w:rFonts w:ascii="Verdana" w:hAnsi="Verdana" w:cs="Arial"/>
          <w:b/>
          <w:sz w:val="20"/>
          <w:szCs w:val="20"/>
          <w:shd w:val="clear" w:color="auto" w:fill="FFFFFF"/>
          <w:lang w:val="en-GB"/>
        </w:rPr>
        <w:t>Health</w:t>
      </w:r>
      <w:r w:rsidR="00B47172" w:rsidRPr="00AE38CA">
        <w:rPr>
          <w:rFonts w:ascii="Verdana" w:hAnsi="Verdana" w:cs="Arial"/>
          <w:b/>
          <w:sz w:val="20"/>
          <w:szCs w:val="20"/>
          <w:shd w:val="clear" w:color="auto" w:fill="FFFFFF"/>
          <w:lang w:val="en-GB"/>
        </w:rPr>
        <w:t xml:space="preserve"> </w:t>
      </w:r>
      <w:r w:rsidRPr="00AE38CA">
        <w:rPr>
          <w:rFonts w:ascii="Verdana" w:hAnsi="Verdana" w:cs="Arial"/>
          <w:b/>
          <w:sz w:val="20"/>
          <w:szCs w:val="20"/>
          <w:shd w:val="clear" w:color="auto" w:fill="FFFFFF"/>
          <w:lang w:val="en-GB"/>
        </w:rPr>
        <w:t>care for children in the Netherlands</w:t>
      </w:r>
    </w:p>
    <w:p w14:paraId="6369465E" w14:textId="3D127F2D" w:rsidR="009519EC" w:rsidRPr="00AE38CA" w:rsidRDefault="009519EC" w:rsidP="000A56CF">
      <w:pPr>
        <w:pStyle w:val="Normaalweb"/>
        <w:shd w:val="clear" w:color="auto" w:fill="FFFFFF"/>
        <w:rPr>
          <w:rFonts w:ascii="Verdana" w:hAnsi="Verdana" w:cs="Arial"/>
          <w:sz w:val="20"/>
          <w:szCs w:val="20"/>
          <w:lang w:val="en-GB"/>
        </w:rPr>
      </w:pPr>
      <w:r w:rsidRPr="00AE38CA">
        <w:rPr>
          <w:rFonts w:ascii="Verdana" w:hAnsi="Verdana" w:cs="Arial"/>
          <w:sz w:val="20"/>
          <w:szCs w:val="20"/>
          <w:shd w:val="clear" w:color="auto" w:fill="FFFFFF"/>
          <w:lang w:val="en-GB"/>
        </w:rPr>
        <w:t>In the Netherlands, access to health</w:t>
      </w:r>
      <w:r w:rsidR="006B3E42" w:rsidRPr="00AE38CA">
        <w:rPr>
          <w:rFonts w:ascii="Verdana" w:hAnsi="Verdana" w:cs="Arial"/>
          <w:sz w:val="20"/>
          <w:szCs w:val="20"/>
          <w:shd w:val="clear" w:color="auto" w:fill="FFFFFF"/>
          <w:lang w:val="en-GB"/>
        </w:rPr>
        <w:t xml:space="preserve"> </w:t>
      </w:r>
      <w:r w:rsidRPr="00AE38CA">
        <w:rPr>
          <w:rFonts w:ascii="Verdana" w:hAnsi="Verdana" w:cs="Arial"/>
          <w:sz w:val="20"/>
          <w:szCs w:val="20"/>
          <w:shd w:val="clear" w:color="auto" w:fill="FFFFFF"/>
          <w:lang w:val="en-GB"/>
        </w:rPr>
        <w:t>care for children up to the age of 18 years is largely subsid</w:t>
      </w:r>
      <w:r w:rsidR="006B3E42" w:rsidRPr="00AE38CA">
        <w:rPr>
          <w:rFonts w:ascii="Verdana" w:hAnsi="Verdana" w:cs="Arial"/>
          <w:sz w:val="20"/>
          <w:szCs w:val="20"/>
          <w:shd w:val="clear" w:color="auto" w:fill="FFFFFF"/>
          <w:lang w:val="en-GB"/>
        </w:rPr>
        <w:t>ise</w:t>
      </w:r>
      <w:r w:rsidRPr="00AE38CA">
        <w:rPr>
          <w:rFonts w:ascii="Verdana" w:hAnsi="Verdana" w:cs="Arial"/>
          <w:sz w:val="20"/>
          <w:szCs w:val="20"/>
          <w:shd w:val="clear" w:color="auto" w:fill="FFFFFF"/>
          <w:lang w:val="en-GB"/>
        </w:rPr>
        <w:t>d by the government. The Health Insurance Act</w:t>
      </w:r>
      <w:r w:rsidR="00074151" w:rsidRPr="00AE38CA">
        <w:rPr>
          <w:rFonts w:ascii="Verdana" w:hAnsi="Verdana" w:cs="Arial"/>
          <w:sz w:val="20"/>
          <w:szCs w:val="20"/>
          <w:shd w:val="clear" w:color="auto" w:fill="FFFFFF"/>
          <w:lang w:val="en-GB"/>
        </w:rPr>
        <w:t xml:space="preserve"> (</w:t>
      </w:r>
      <w:r w:rsidR="00074151" w:rsidRPr="00AE38CA">
        <w:rPr>
          <w:rFonts w:ascii="Verdana" w:hAnsi="Verdana" w:cs="Arial"/>
          <w:i/>
          <w:sz w:val="20"/>
          <w:szCs w:val="20"/>
          <w:shd w:val="clear" w:color="auto" w:fill="FFFFFF"/>
          <w:lang w:val="en-GB"/>
        </w:rPr>
        <w:t>Zorgwet</w:t>
      </w:r>
      <w:r w:rsidR="00074151" w:rsidRPr="00AE38CA">
        <w:rPr>
          <w:rFonts w:ascii="Verdana" w:hAnsi="Verdana" w:cs="Arial"/>
          <w:sz w:val="20"/>
          <w:szCs w:val="20"/>
          <w:shd w:val="clear" w:color="auto" w:fill="FFFFFF"/>
          <w:lang w:val="en-GB"/>
        </w:rPr>
        <w:t>)</w:t>
      </w:r>
      <w:r w:rsidRPr="00AE38CA">
        <w:rPr>
          <w:rFonts w:ascii="Verdana" w:hAnsi="Verdana" w:cs="Arial"/>
          <w:sz w:val="20"/>
          <w:szCs w:val="20"/>
          <w:shd w:val="clear" w:color="auto" w:fill="FFFFFF"/>
          <w:lang w:val="en-GB"/>
        </w:rPr>
        <w:t xml:space="preserve">, Youth Act </w:t>
      </w:r>
      <w:r w:rsidR="00074151" w:rsidRPr="00AE38CA">
        <w:rPr>
          <w:rFonts w:ascii="Verdana" w:hAnsi="Verdana" w:cs="Arial"/>
          <w:sz w:val="20"/>
          <w:szCs w:val="20"/>
          <w:shd w:val="clear" w:color="auto" w:fill="FFFFFF"/>
          <w:lang w:val="en-GB"/>
        </w:rPr>
        <w:t>(</w:t>
      </w:r>
      <w:r w:rsidR="00074151" w:rsidRPr="00AE38CA">
        <w:rPr>
          <w:rFonts w:ascii="Verdana" w:hAnsi="Verdana" w:cs="Arial"/>
          <w:i/>
          <w:sz w:val="20"/>
          <w:szCs w:val="20"/>
          <w:shd w:val="clear" w:color="auto" w:fill="FFFFFF"/>
          <w:lang w:val="en-GB"/>
        </w:rPr>
        <w:t>Jeugdwet</w:t>
      </w:r>
      <w:r w:rsidR="00074151" w:rsidRPr="00AE38CA">
        <w:rPr>
          <w:rFonts w:ascii="Verdana" w:hAnsi="Verdana" w:cs="Arial"/>
          <w:sz w:val="20"/>
          <w:szCs w:val="20"/>
          <w:shd w:val="clear" w:color="auto" w:fill="FFFFFF"/>
          <w:lang w:val="en-GB"/>
        </w:rPr>
        <w:t>)</w:t>
      </w:r>
      <w:r w:rsidRPr="00AE38CA">
        <w:rPr>
          <w:rFonts w:ascii="Verdana" w:hAnsi="Verdana" w:cs="Arial"/>
          <w:sz w:val="20"/>
          <w:szCs w:val="20"/>
          <w:shd w:val="clear" w:color="auto" w:fill="FFFFFF"/>
          <w:lang w:val="en-GB"/>
        </w:rPr>
        <w:t xml:space="preserve"> and Long-Term Care Act </w:t>
      </w:r>
      <w:r w:rsidR="00074151" w:rsidRPr="00AE38CA">
        <w:rPr>
          <w:rFonts w:ascii="Verdana" w:hAnsi="Verdana" w:cs="Arial"/>
          <w:sz w:val="20"/>
          <w:szCs w:val="20"/>
          <w:shd w:val="clear" w:color="auto" w:fill="FFFFFF"/>
          <w:lang w:val="en-GB"/>
        </w:rPr>
        <w:t>(</w:t>
      </w:r>
      <w:r w:rsidR="00074151" w:rsidRPr="00AE38CA">
        <w:rPr>
          <w:rFonts w:ascii="Verdana" w:hAnsi="Verdana" w:cs="Arial"/>
          <w:i/>
          <w:sz w:val="20"/>
          <w:szCs w:val="20"/>
          <w:shd w:val="clear" w:color="auto" w:fill="FFFFFF"/>
          <w:lang w:val="en-GB"/>
        </w:rPr>
        <w:t>Wet langdurige zorg</w:t>
      </w:r>
      <w:r w:rsidR="00074151" w:rsidRPr="00AE38CA">
        <w:rPr>
          <w:rFonts w:ascii="Verdana" w:hAnsi="Verdana" w:cs="Arial"/>
          <w:sz w:val="20"/>
          <w:szCs w:val="20"/>
          <w:shd w:val="clear" w:color="auto" w:fill="FFFFFF"/>
          <w:lang w:val="en-GB"/>
        </w:rPr>
        <w:t>)</w:t>
      </w:r>
      <w:r w:rsidRPr="00AE38CA">
        <w:rPr>
          <w:rFonts w:ascii="Verdana" w:hAnsi="Verdana" w:cs="Arial"/>
          <w:sz w:val="20"/>
          <w:szCs w:val="20"/>
          <w:shd w:val="clear" w:color="auto" w:fill="FFFFFF"/>
          <w:lang w:val="en-GB"/>
        </w:rPr>
        <w:t xml:space="preserve"> are important key pillars in the Dutch health</w:t>
      </w:r>
      <w:r w:rsidR="006B3E42" w:rsidRPr="00AE38CA">
        <w:rPr>
          <w:rFonts w:ascii="Verdana" w:hAnsi="Verdana" w:cs="Arial"/>
          <w:sz w:val="20"/>
          <w:szCs w:val="20"/>
          <w:shd w:val="clear" w:color="auto" w:fill="FFFFFF"/>
          <w:lang w:val="en-GB"/>
        </w:rPr>
        <w:t xml:space="preserve"> </w:t>
      </w:r>
      <w:r w:rsidRPr="00AE38CA">
        <w:rPr>
          <w:rFonts w:ascii="Verdana" w:hAnsi="Verdana" w:cs="Arial"/>
          <w:sz w:val="20"/>
          <w:szCs w:val="20"/>
          <w:shd w:val="clear" w:color="auto" w:fill="FFFFFF"/>
          <w:lang w:val="en-GB"/>
        </w:rPr>
        <w:t xml:space="preserve">care system for the provision of health care services, including youth health care. Through these acts, children can access – for free – basic and essential health care services within the municipalities and the wider region </w:t>
      </w:r>
      <w:r w:rsidR="006B3E42" w:rsidRPr="00AE38CA">
        <w:rPr>
          <w:rFonts w:ascii="Verdana" w:hAnsi="Verdana" w:cs="Arial"/>
          <w:sz w:val="20"/>
          <w:szCs w:val="20"/>
          <w:shd w:val="clear" w:color="auto" w:fill="FFFFFF"/>
          <w:lang w:val="en-GB"/>
        </w:rPr>
        <w:t xml:space="preserve">where </w:t>
      </w:r>
      <w:r w:rsidRPr="00AE38CA">
        <w:rPr>
          <w:rFonts w:ascii="Verdana" w:hAnsi="Verdana" w:cs="Arial"/>
          <w:sz w:val="20"/>
          <w:szCs w:val="20"/>
          <w:shd w:val="clear" w:color="auto" w:fill="FFFFFF"/>
          <w:lang w:val="en-GB"/>
        </w:rPr>
        <w:t xml:space="preserve">they reside. A brief description of each act is provided below: </w:t>
      </w:r>
    </w:p>
    <w:p w14:paraId="58BD6255" w14:textId="77777777" w:rsidR="009519EC" w:rsidRPr="00AE38CA" w:rsidRDefault="009519EC" w:rsidP="001965B0">
      <w:pPr>
        <w:pStyle w:val="Normaalweb"/>
        <w:numPr>
          <w:ilvl w:val="0"/>
          <w:numId w:val="32"/>
        </w:numPr>
        <w:shd w:val="clear" w:color="auto" w:fill="FFFFFF"/>
        <w:rPr>
          <w:rFonts w:ascii="Verdana" w:hAnsi="Verdana" w:cs="Arial"/>
          <w:sz w:val="20"/>
          <w:szCs w:val="20"/>
          <w:u w:val="single"/>
          <w:lang w:val="en-GB"/>
        </w:rPr>
      </w:pPr>
      <w:r w:rsidRPr="00AE38CA">
        <w:rPr>
          <w:rFonts w:ascii="Verdana" w:hAnsi="Verdana" w:cs="Arial"/>
          <w:sz w:val="20"/>
          <w:szCs w:val="20"/>
          <w:u w:val="single"/>
          <w:shd w:val="clear" w:color="auto" w:fill="FFFFFF"/>
          <w:lang w:val="en-GB"/>
        </w:rPr>
        <w:t>Health Insurance Act</w:t>
      </w:r>
    </w:p>
    <w:p w14:paraId="74723D14" w14:textId="3155CEB3" w:rsidR="009519EC" w:rsidRPr="00AE38CA" w:rsidRDefault="009519EC" w:rsidP="000A56CF">
      <w:pPr>
        <w:pStyle w:val="Normaalweb"/>
        <w:shd w:val="clear" w:color="auto" w:fill="FFFFFF"/>
        <w:rPr>
          <w:rFonts w:ascii="Verdana" w:hAnsi="Verdana" w:cs="Arial"/>
          <w:sz w:val="20"/>
          <w:szCs w:val="20"/>
          <w:lang w:val="en-GB"/>
        </w:rPr>
      </w:pPr>
      <w:r w:rsidRPr="00AE38CA">
        <w:rPr>
          <w:rFonts w:ascii="Verdana" w:hAnsi="Verdana" w:cs="Arial"/>
          <w:sz w:val="20"/>
          <w:szCs w:val="20"/>
          <w:shd w:val="clear" w:color="auto" w:fill="FFFFFF"/>
          <w:lang w:val="en-GB"/>
        </w:rPr>
        <w:t xml:space="preserve">As introduced in 2006, the Health Insurance Act requires all residents in the Netherlands to obtain a basic health insurance plan. The insurance will then provide residents (including children) with access to basic medical care services and medications, such as: </w:t>
      </w:r>
    </w:p>
    <w:p w14:paraId="5D9E1F2D" w14:textId="32075632" w:rsidR="009519EC" w:rsidRPr="00AE38CA" w:rsidRDefault="009519EC" w:rsidP="001965B0">
      <w:pPr>
        <w:pStyle w:val="Normaalweb"/>
        <w:numPr>
          <w:ilvl w:val="0"/>
          <w:numId w:val="26"/>
        </w:numPr>
        <w:shd w:val="clear" w:color="auto" w:fill="FFFFFF"/>
        <w:ind w:left="284" w:hanging="284"/>
        <w:rPr>
          <w:rFonts w:ascii="Verdana" w:hAnsi="Verdana" w:cs="Arial"/>
          <w:sz w:val="20"/>
          <w:szCs w:val="20"/>
          <w:lang w:val="en-GB"/>
        </w:rPr>
      </w:pPr>
      <w:r w:rsidRPr="00AE38CA">
        <w:rPr>
          <w:rFonts w:ascii="Verdana" w:hAnsi="Verdana" w:cs="Arial"/>
          <w:sz w:val="20"/>
          <w:szCs w:val="20"/>
          <w:shd w:val="clear" w:color="auto" w:fill="FFFFFF"/>
          <w:lang w:val="en-GB"/>
        </w:rPr>
        <w:t>medical care provided by GPs, medical specialists (consultant physicians) and obstetricians</w:t>
      </w:r>
      <w:r w:rsidR="006B3E42" w:rsidRPr="00AE38CA">
        <w:rPr>
          <w:rFonts w:ascii="Verdana" w:hAnsi="Verdana" w:cs="Arial"/>
          <w:sz w:val="20"/>
          <w:szCs w:val="20"/>
          <w:shd w:val="clear" w:color="auto" w:fill="FFFFFF"/>
          <w:lang w:val="en-GB"/>
        </w:rPr>
        <w:t>;</w:t>
      </w:r>
    </w:p>
    <w:p w14:paraId="161EE561" w14:textId="5E828990" w:rsidR="009519EC" w:rsidRPr="00AE38CA" w:rsidRDefault="009519EC" w:rsidP="001965B0">
      <w:pPr>
        <w:pStyle w:val="Normaalweb"/>
        <w:numPr>
          <w:ilvl w:val="0"/>
          <w:numId w:val="26"/>
        </w:numPr>
        <w:shd w:val="clear" w:color="auto" w:fill="FFFFFF"/>
        <w:ind w:left="284" w:hanging="284"/>
        <w:rPr>
          <w:rFonts w:ascii="Verdana" w:hAnsi="Verdana" w:cs="Arial"/>
          <w:sz w:val="20"/>
          <w:szCs w:val="20"/>
          <w:lang w:val="en-GB"/>
        </w:rPr>
      </w:pPr>
      <w:r w:rsidRPr="00AE38CA">
        <w:rPr>
          <w:rFonts w:ascii="Verdana" w:hAnsi="Verdana" w:cs="Arial"/>
          <w:sz w:val="20"/>
          <w:szCs w:val="20"/>
          <w:shd w:val="clear" w:color="auto" w:fill="FFFFFF"/>
          <w:lang w:val="en-GB"/>
        </w:rPr>
        <w:t>hospitali</w:t>
      </w:r>
      <w:r w:rsidR="006B3E42" w:rsidRPr="00AE38CA">
        <w:rPr>
          <w:rFonts w:ascii="Verdana" w:hAnsi="Verdana" w:cs="Arial"/>
          <w:sz w:val="20"/>
          <w:szCs w:val="20"/>
          <w:shd w:val="clear" w:color="auto" w:fill="FFFFFF"/>
          <w:lang w:val="en-GB"/>
        </w:rPr>
        <w:t>s</w:t>
      </w:r>
      <w:r w:rsidRPr="00AE38CA">
        <w:rPr>
          <w:rFonts w:ascii="Verdana" w:hAnsi="Verdana" w:cs="Arial"/>
          <w:sz w:val="20"/>
          <w:szCs w:val="20"/>
          <w:shd w:val="clear" w:color="auto" w:fill="FFFFFF"/>
          <w:lang w:val="en-GB"/>
        </w:rPr>
        <w:t>ation</w:t>
      </w:r>
      <w:r w:rsidR="006B3E42" w:rsidRPr="00AE38CA">
        <w:rPr>
          <w:rFonts w:ascii="Verdana" w:hAnsi="Verdana" w:cs="Arial"/>
          <w:sz w:val="20"/>
          <w:szCs w:val="20"/>
          <w:shd w:val="clear" w:color="auto" w:fill="FFFFFF"/>
          <w:lang w:val="en-GB"/>
        </w:rPr>
        <w:t>;</w:t>
      </w:r>
    </w:p>
    <w:p w14:paraId="3A528086" w14:textId="50E44B81" w:rsidR="009519EC" w:rsidRPr="00AE38CA" w:rsidRDefault="009519EC" w:rsidP="001965B0">
      <w:pPr>
        <w:pStyle w:val="Normaalweb"/>
        <w:numPr>
          <w:ilvl w:val="0"/>
          <w:numId w:val="26"/>
        </w:numPr>
        <w:shd w:val="clear" w:color="auto" w:fill="FFFFFF"/>
        <w:ind w:left="284" w:hanging="284"/>
        <w:rPr>
          <w:rFonts w:ascii="Verdana" w:hAnsi="Verdana" w:cs="Arial"/>
          <w:sz w:val="20"/>
          <w:szCs w:val="20"/>
          <w:lang w:val="en-GB"/>
        </w:rPr>
      </w:pPr>
      <w:r w:rsidRPr="00AE38CA">
        <w:rPr>
          <w:rFonts w:ascii="Verdana" w:hAnsi="Verdana" w:cs="Arial"/>
          <w:sz w:val="20"/>
          <w:szCs w:val="20"/>
          <w:shd w:val="clear" w:color="auto" w:fill="FFFFFF"/>
          <w:lang w:val="en-GB"/>
        </w:rPr>
        <w:t>mental health services</w:t>
      </w:r>
      <w:r w:rsidR="006B3E42" w:rsidRPr="00AE38CA">
        <w:rPr>
          <w:rFonts w:ascii="Verdana" w:hAnsi="Verdana" w:cs="Arial"/>
          <w:sz w:val="20"/>
          <w:szCs w:val="20"/>
          <w:shd w:val="clear" w:color="auto" w:fill="FFFFFF"/>
          <w:lang w:val="en-GB"/>
        </w:rPr>
        <w:t>;</w:t>
      </w:r>
    </w:p>
    <w:p w14:paraId="0A1956B2" w14:textId="3F41EFF6" w:rsidR="009519EC" w:rsidRPr="00AE38CA" w:rsidRDefault="009519EC" w:rsidP="001965B0">
      <w:pPr>
        <w:pStyle w:val="Normaalweb"/>
        <w:numPr>
          <w:ilvl w:val="0"/>
          <w:numId w:val="26"/>
        </w:numPr>
        <w:shd w:val="clear" w:color="auto" w:fill="FFFFFF"/>
        <w:ind w:left="284" w:hanging="284"/>
        <w:rPr>
          <w:rFonts w:ascii="Verdana" w:hAnsi="Verdana" w:cs="Arial"/>
          <w:sz w:val="20"/>
          <w:szCs w:val="20"/>
          <w:lang w:val="en-GB"/>
        </w:rPr>
      </w:pPr>
      <w:r w:rsidRPr="00AE38CA">
        <w:rPr>
          <w:rFonts w:ascii="Verdana" w:hAnsi="Verdana" w:cs="Arial"/>
          <w:sz w:val="20"/>
          <w:szCs w:val="20"/>
          <w:shd w:val="clear" w:color="auto" w:fill="FFFFFF"/>
          <w:lang w:val="en-GB"/>
        </w:rPr>
        <w:lastRenderedPageBreak/>
        <w:t>dental care</w:t>
      </w:r>
      <w:r w:rsidR="006B3E42" w:rsidRPr="00AE38CA">
        <w:rPr>
          <w:rFonts w:ascii="Verdana" w:hAnsi="Verdana" w:cs="Arial"/>
          <w:sz w:val="20"/>
          <w:szCs w:val="20"/>
          <w:shd w:val="clear" w:color="auto" w:fill="FFFFFF"/>
          <w:lang w:val="en-GB"/>
        </w:rPr>
        <w:t>;</w:t>
      </w:r>
    </w:p>
    <w:p w14:paraId="091F9F1E" w14:textId="77777777" w:rsidR="009519EC" w:rsidRPr="00AE38CA" w:rsidRDefault="009519EC" w:rsidP="001965B0">
      <w:pPr>
        <w:pStyle w:val="Normaalweb"/>
        <w:numPr>
          <w:ilvl w:val="0"/>
          <w:numId w:val="26"/>
        </w:numPr>
        <w:shd w:val="clear" w:color="auto" w:fill="FFFFFF"/>
        <w:ind w:left="284" w:hanging="284"/>
        <w:rPr>
          <w:rFonts w:ascii="Verdana" w:hAnsi="Verdana" w:cs="Arial"/>
          <w:sz w:val="20"/>
          <w:szCs w:val="20"/>
          <w:lang w:val="en-GB"/>
        </w:rPr>
      </w:pPr>
      <w:r w:rsidRPr="00AE38CA">
        <w:rPr>
          <w:rFonts w:ascii="Verdana" w:hAnsi="Verdana" w:cs="Arial"/>
          <w:sz w:val="20"/>
          <w:szCs w:val="20"/>
          <w:shd w:val="clear" w:color="auto" w:fill="FFFFFF"/>
          <w:lang w:val="en-GB"/>
        </w:rPr>
        <w:t xml:space="preserve">services provided by various types of therapists, including physical therapists, remedial therapists, speech therapists and occupational therapists. </w:t>
      </w:r>
    </w:p>
    <w:p w14:paraId="1D27FB12" w14:textId="2B5A4CA6" w:rsidR="009519EC" w:rsidRPr="00AE38CA" w:rsidRDefault="009519EC" w:rsidP="000A56CF">
      <w:pPr>
        <w:pStyle w:val="Normaalweb"/>
        <w:shd w:val="clear" w:color="auto" w:fill="FFFFFF"/>
        <w:rPr>
          <w:rFonts w:ascii="Verdana" w:hAnsi="Verdana" w:cs="RijksoverheidSerif-Regular"/>
          <w:sz w:val="19"/>
          <w:szCs w:val="19"/>
          <w:lang w:val="en-GB"/>
        </w:rPr>
      </w:pPr>
      <w:r w:rsidRPr="00AE38CA">
        <w:rPr>
          <w:rFonts w:ascii="Verdana" w:hAnsi="Verdana" w:cs="Arial"/>
          <w:sz w:val="20"/>
          <w:szCs w:val="20"/>
          <w:shd w:val="clear" w:color="auto" w:fill="FFFFFF"/>
          <w:lang w:val="en-GB"/>
        </w:rPr>
        <w:t>The central government is responsible for the content and size of the statutory health insurance package and review</w:t>
      </w:r>
      <w:r w:rsidR="00551927" w:rsidRPr="00AE38CA">
        <w:rPr>
          <w:rFonts w:ascii="Verdana" w:hAnsi="Verdana" w:cs="Arial"/>
          <w:sz w:val="20"/>
          <w:szCs w:val="20"/>
          <w:shd w:val="clear" w:color="auto" w:fill="FFFFFF"/>
          <w:lang w:val="en-GB"/>
        </w:rPr>
        <w:t>s</w:t>
      </w:r>
      <w:r w:rsidRPr="00AE38CA">
        <w:rPr>
          <w:rFonts w:ascii="Verdana" w:hAnsi="Verdana" w:cs="Arial"/>
          <w:sz w:val="20"/>
          <w:szCs w:val="20"/>
          <w:shd w:val="clear" w:color="auto" w:fill="FFFFFF"/>
          <w:lang w:val="en-GB"/>
        </w:rPr>
        <w:t xml:space="preserve"> it on a yearly basis</w:t>
      </w:r>
      <w:r w:rsidR="00102098" w:rsidRPr="00AE38CA">
        <w:rPr>
          <w:rFonts w:ascii="Verdana" w:hAnsi="Verdana" w:cs="Arial"/>
          <w:sz w:val="20"/>
          <w:szCs w:val="20"/>
          <w:shd w:val="clear" w:color="auto" w:fill="FFFFFF"/>
          <w:lang w:val="en-GB"/>
        </w:rPr>
        <w:t xml:space="preserve"> (Ministry of Public Health, Welfare and Sport</w:t>
      </w:r>
      <w:r w:rsidR="00A542D6" w:rsidRPr="00AE38CA">
        <w:rPr>
          <w:rFonts w:ascii="Verdana" w:hAnsi="Verdana" w:cs="Arial"/>
          <w:sz w:val="20"/>
          <w:szCs w:val="20"/>
          <w:shd w:val="clear" w:color="auto" w:fill="FFFFFF"/>
          <w:lang w:val="en-GB"/>
        </w:rPr>
        <w:t xml:space="preserve"> [VWS]</w:t>
      </w:r>
      <w:r w:rsidR="00102098" w:rsidRPr="00AE38CA">
        <w:rPr>
          <w:rFonts w:ascii="Verdana" w:hAnsi="Verdana" w:cs="Arial"/>
          <w:sz w:val="20"/>
          <w:szCs w:val="20"/>
          <w:shd w:val="clear" w:color="auto" w:fill="FFFFFF"/>
          <w:lang w:val="en-GB"/>
        </w:rPr>
        <w:t>, 201</w:t>
      </w:r>
      <w:r w:rsidR="00D50EAB" w:rsidRPr="00AE38CA">
        <w:rPr>
          <w:rFonts w:ascii="Verdana" w:hAnsi="Verdana" w:cs="Arial"/>
          <w:sz w:val="20"/>
          <w:szCs w:val="20"/>
          <w:shd w:val="clear" w:color="auto" w:fill="FFFFFF"/>
          <w:lang w:val="en-GB"/>
        </w:rPr>
        <w:t>6)</w:t>
      </w:r>
      <w:r w:rsidRPr="00AE38CA">
        <w:rPr>
          <w:rFonts w:ascii="Verdana" w:hAnsi="Verdana" w:cs="Arial"/>
          <w:sz w:val="20"/>
          <w:szCs w:val="20"/>
          <w:shd w:val="clear" w:color="auto" w:fill="FFFFFF"/>
          <w:lang w:val="en-GB"/>
        </w:rPr>
        <w:t xml:space="preserve">. The government </w:t>
      </w:r>
      <w:r w:rsidR="00F02B1E" w:rsidRPr="00AE38CA">
        <w:rPr>
          <w:rFonts w:ascii="Verdana" w:hAnsi="Verdana" w:cs="Arial"/>
          <w:sz w:val="20"/>
          <w:szCs w:val="20"/>
          <w:shd w:val="clear" w:color="auto" w:fill="FFFFFF"/>
          <w:lang w:val="en-GB"/>
        </w:rPr>
        <w:t>is</w:t>
      </w:r>
      <w:r w:rsidRPr="00AE38CA">
        <w:rPr>
          <w:rFonts w:ascii="Verdana" w:hAnsi="Verdana" w:cs="Arial"/>
          <w:sz w:val="20"/>
          <w:szCs w:val="20"/>
          <w:shd w:val="clear" w:color="auto" w:fill="FFFFFF"/>
          <w:lang w:val="en-GB"/>
        </w:rPr>
        <w:t xml:space="preserve"> informed by </w:t>
      </w:r>
      <w:r w:rsidR="00D50EAB" w:rsidRPr="00AE38CA">
        <w:rPr>
          <w:rFonts w:ascii="Verdana" w:hAnsi="Verdana" w:cs="Arial"/>
          <w:sz w:val="20"/>
          <w:szCs w:val="20"/>
          <w:shd w:val="clear" w:color="auto" w:fill="FFFFFF"/>
          <w:lang w:val="en-GB"/>
        </w:rPr>
        <w:t>a</w:t>
      </w:r>
      <w:r w:rsidRPr="00AE38CA">
        <w:rPr>
          <w:rFonts w:ascii="Verdana" w:hAnsi="Verdana" w:cs="Arial"/>
          <w:sz w:val="20"/>
          <w:szCs w:val="20"/>
          <w:shd w:val="clear" w:color="auto" w:fill="FFFFFF"/>
          <w:lang w:val="en-GB"/>
        </w:rPr>
        <w:t xml:space="preserve"> </w:t>
      </w:r>
      <w:r w:rsidR="00D50EAB" w:rsidRPr="00AE38CA">
        <w:rPr>
          <w:rFonts w:ascii="Verdana" w:hAnsi="Verdana" w:cs="Arial"/>
          <w:sz w:val="20"/>
          <w:szCs w:val="20"/>
          <w:shd w:val="clear" w:color="auto" w:fill="FFFFFF"/>
          <w:lang w:val="en-GB"/>
        </w:rPr>
        <w:t>n</w:t>
      </w:r>
      <w:r w:rsidRPr="00AE38CA">
        <w:rPr>
          <w:rFonts w:ascii="Verdana" w:hAnsi="Verdana" w:cs="Arial"/>
          <w:sz w:val="20"/>
          <w:szCs w:val="20"/>
          <w:shd w:val="clear" w:color="auto" w:fill="FFFFFF"/>
          <w:lang w:val="en-GB"/>
        </w:rPr>
        <w:t>ational Health Care Institute (</w:t>
      </w:r>
      <w:r w:rsidRPr="00AE38CA">
        <w:rPr>
          <w:rFonts w:ascii="Verdana" w:hAnsi="Verdana" w:cs="Arial"/>
          <w:i/>
          <w:sz w:val="20"/>
          <w:szCs w:val="20"/>
          <w:shd w:val="clear" w:color="auto" w:fill="FFFFFF"/>
          <w:lang w:val="en-GB"/>
        </w:rPr>
        <w:t>Zorginstituut Nederland</w:t>
      </w:r>
      <w:r w:rsidRPr="00AE38CA">
        <w:rPr>
          <w:rFonts w:ascii="Verdana" w:hAnsi="Verdana" w:cs="Arial"/>
          <w:sz w:val="20"/>
          <w:szCs w:val="20"/>
          <w:shd w:val="clear" w:color="auto" w:fill="FFFFFF"/>
          <w:lang w:val="en-GB"/>
        </w:rPr>
        <w:t xml:space="preserve">) to determine the type of care </w:t>
      </w:r>
      <w:r w:rsidR="00B602F2" w:rsidRPr="00AE38CA">
        <w:rPr>
          <w:rFonts w:ascii="Verdana" w:hAnsi="Verdana" w:cs="Arial"/>
          <w:sz w:val="20"/>
          <w:szCs w:val="20"/>
          <w:shd w:val="clear" w:color="auto" w:fill="FFFFFF"/>
          <w:lang w:val="en-GB"/>
        </w:rPr>
        <w:t>to</w:t>
      </w:r>
      <w:r w:rsidRPr="00AE38CA">
        <w:rPr>
          <w:rFonts w:ascii="Verdana" w:hAnsi="Verdana" w:cs="Arial"/>
          <w:sz w:val="20"/>
          <w:szCs w:val="20"/>
          <w:shd w:val="clear" w:color="auto" w:fill="FFFFFF"/>
          <w:lang w:val="en-GB"/>
        </w:rPr>
        <w:t xml:space="preserve"> include in the </w:t>
      </w:r>
      <w:r w:rsidRPr="00AE38CA">
        <w:rPr>
          <w:rFonts w:ascii="Verdana" w:hAnsi="Verdana" w:cs="RijksoverheidSerif-Regular"/>
          <w:sz w:val="20"/>
          <w:szCs w:val="20"/>
          <w:lang w:val="en-GB"/>
        </w:rPr>
        <w:t>package.</w:t>
      </w:r>
    </w:p>
    <w:p w14:paraId="21D7ABB8" w14:textId="611B9E7A" w:rsidR="009519EC" w:rsidRPr="00AE38CA" w:rsidRDefault="009519EC" w:rsidP="000A56CF">
      <w:pPr>
        <w:pStyle w:val="Normaalweb"/>
        <w:shd w:val="clear" w:color="auto" w:fill="FFFFFF"/>
        <w:rPr>
          <w:rFonts w:ascii="Verdana" w:hAnsi="Verdana" w:cs="Arial"/>
          <w:sz w:val="20"/>
          <w:szCs w:val="20"/>
          <w:shd w:val="clear" w:color="auto" w:fill="FFFFFF"/>
          <w:lang w:val="en-GB"/>
        </w:rPr>
      </w:pPr>
      <w:r w:rsidRPr="00AE38CA">
        <w:rPr>
          <w:rFonts w:ascii="Verdana" w:hAnsi="Verdana" w:cs="Arial"/>
          <w:sz w:val="20"/>
          <w:szCs w:val="20"/>
          <w:shd w:val="clear" w:color="auto" w:fill="FFFFFF"/>
          <w:lang w:val="en-GB"/>
        </w:rPr>
        <w:t>The Dutch government covers the costs of basic health insurance for children up to age 18, but they have to be included in one of the parents’ plans</w:t>
      </w:r>
      <w:r w:rsidR="004B390D" w:rsidRPr="00AE38CA">
        <w:rPr>
          <w:rFonts w:ascii="Verdana" w:hAnsi="Verdana" w:cs="Arial"/>
          <w:sz w:val="20"/>
          <w:szCs w:val="20"/>
          <w:shd w:val="clear" w:color="auto" w:fill="FFFFFF"/>
          <w:lang w:val="en-GB"/>
        </w:rPr>
        <w:t xml:space="preserve"> (Kroneman et al.,</w:t>
      </w:r>
      <w:r w:rsidR="00BC068B" w:rsidRPr="00AE38CA">
        <w:rPr>
          <w:rFonts w:ascii="Verdana" w:hAnsi="Verdana" w:cs="Arial"/>
          <w:sz w:val="20"/>
          <w:szCs w:val="20"/>
          <w:shd w:val="clear" w:color="auto" w:fill="FFFFFF"/>
          <w:lang w:val="en-GB"/>
        </w:rPr>
        <w:t xml:space="preserve"> 2016</w:t>
      </w:r>
      <w:r w:rsidR="00EA3685" w:rsidRPr="00AE38CA">
        <w:rPr>
          <w:rFonts w:ascii="Verdana" w:hAnsi="Verdana" w:cs="Arial"/>
          <w:sz w:val="20"/>
          <w:szCs w:val="20"/>
          <w:shd w:val="clear" w:color="auto" w:fill="FFFFFF"/>
          <w:lang w:val="en-GB"/>
        </w:rPr>
        <w:t xml:space="preserve">). </w:t>
      </w:r>
      <w:r w:rsidRPr="00AE38CA">
        <w:rPr>
          <w:rFonts w:ascii="Verdana" w:hAnsi="Verdana" w:cs="Arial"/>
          <w:sz w:val="20"/>
          <w:szCs w:val="20"/>
          <w:shd w:val="clear" w:color="auto" w:fill="FFFFFF"/>
          <w:lang w:val="en-GB"/>
        </w:rPr>
        <w:t xml:space="preserve">Moreover, if parents choose supplementary health insurance packages, </w:t>
      </w:r>
      <w:r w:rsidR="00691736" w:rsidRPr="00AE38CA">
        <w:rPr>
          <w:rFonts w:ascii="Verdana" w:hAnsi="Verdana" w:cs="Arial"/>
          <w:sz w:val="20"/>
          <w:szCs w:val="20"/>
          <w:shd w:val="clear" w:color="auto" w:fill="FFFFFF"/>
          <w:lang w:val="en-GB"/>
        </w:rPr>
        <w:t xml:space="preserve">they </w:t>
      </w:r>
      <w:r w:rsidRPr="00AE38CA">
        <w:rPr>
          <w:rFonts w:ascii="Verdana" w:hAnsi="Verdana" w:cs="Arial"/>
          <w:sz w:val="20"/>
          <w:szCs w:val="20"/>
          <w:shd w:val="clear" w:color="auto" w:fill="FFFFFF"/>
          <w:lang w:val="en-GB"/>
        </w:rPr>
        <w:t>can often include their children in their supplementary plan free of charge.</w:t>
      </w:r>
      <w:r w:rsidRPr="00AE38CA">
        <w:rPr>
          <w:lang w:val="en-GB"/>
        </w:rPr>
        <w:t xml:space="preserve"> </w:t>
      </w:r>
      <w:r w:rsidRPr="00AE38CA">
        <w:rPr>
          <w:rFonts w:ascii="Verdana" w:hAnsi="Verdana" w:cs="Arial"/>
          <w:sz w:val="20"/>
          <w:szCs w:val="20"/>
          <w:shd w:val="clear" w:color="auto" w:fill="FFFFFF"/>
          <w:lang w:val="en-GB"/>
        </w:rPr>
        <w:t xml:space="preserve">Low income households cannot apply for subsidy support when purchasing a health insurance plan. However, they can be eligible for the Participation Act which serves as the </w:t>
      </w:r>
      <w:r w:rsidR="00691736" w:rsidRPr="00AE38CA">
        <w:rPr>
          <w:rFonts w:ascii="Verdana" w:hAnsi="Verdana" w:cs="Arial"/>
          <w:sz w:val="20"/>
          <w:szCs w:val="20"/>
          <w:shd w:val="clear" w:color="auto" w:fill="FFFFFF"/>
          <w:lang w:val="en-GB"/>
        </w:rPr>
        <w:t>–</w:t>
      </w:r>
      <w:r w:rsidRPr="00AE38CA">
        <w:rPr>
          <w:rFonts w:ascii="Verdana" w:hAnsi="Verdana" w:cs="Arial"/>
          <w:sz w:val="20"/>
          <w:szCs w:val="20"/>
          <w:shd w:val="clear" w:color="auto" w:fill="FFFFFF"/>
          <w:lang w:val="en-GB"/>
        </w:rPr>
        <w:t xml:space="preserve"> means-tested </w:t>
      </w:r>
      <w:r w:rsidR="00691736" w:rsidRPr="00AE38CA">
        <w:rPr>
          <w:rFonts w:ascii="Verdana" w:hAnsi="Verdana" w:cs="Arial"/>
          <w:sz w:val="20"/>
          <w:szCs w:val="20"/>
          <w:shd w:val="clear" w:color="auto" w:fill="FFFFFF"/>
          <w:lang w:val="en-GB"/>
        </w:rPr>
        <w:t>–</w:t>
      </w:r>
      <w:r w:rsidRPr="00AE38CA">
        <w:rPr>
          <w:rFonts w:ascii="Verdana" w:hAnsi="Verdana" w:cs="Arial"/>
          <w:sz w:val="20"/>
          <w:szCs w:val="20"/>
          <w:shd w:val="clear" w:color="auto" w:fill="FFFFFF"/>
          <w:lang w:val="en-GB"/>
        </w:rPr>
        <w:t xml:space="preserve"> Dutch safety net. It provides a minimum income to anyone legally residing in the Netherlands who has insufficient means to cover the basic costs of living. </w:t>
      </w:r>
    </w:p>
    <w:p w14:paraId="69E384F0" w14:textId="54D5498A" w:rsidR="009519EC" w:rsidRPr="00AE38CA" w:rsidRDefault="009519EC" w:rsidP="000A56CF">
      <w:pPr>
        <w:pStyle w:val="Normaalweb"/>
        <w:shd w:val="clear" w:color="auto" w:fill="FFFFFF"/>
        <w:rPr>
          <w:rFonts w:ascii="Verdana" w:hAnsi="Verdana" w:cs="Arial"/>
          <w:sz w:val="20"/>
          <w:szCs w:val="20"/>
          <w:lang w:val="en-GB"/>
        </w:rPr>
      </w:pPr>
      <w:r w:rsidRPr="00AE38CA">
        <w:rPr>
          <w:rFonts w:ascii="Verdana" w:hAnsi="Verdana" w:cs="Arial"/>
          <w:sz w:val="20"/>
          <w:szCs w:val="20"/>
          <w:shd w:val="clear" w:color="auto" w:fill="FFFFFF"/>
          <w:lang w:val="en-GB"/>
        </w:rPr>
        <w:t>Financial penalties apply to people aged 18 years and older who fail to arrange a health plan, with the e</w:t>
      </w:r>
      <w:r w:rsidRPr="00AE38CA">
        <w:rPr>
          <w:rFonts w:ascii="Verdana" w:hAnsi="Verdana"/>
          <w:sz w:val="20"/>
          <w:szCs w:val="20"/>
          <w:lang w:val="en-GB"/>
        </w:rPr>
        <w:t xml:space="preserve">xception of </w:t>
      </w:r>
      <w:r w:rsidRPr="00AE38CA">
        <w:rPr>
          <w:rFonts w:ascii="Verdana" w:hAnsi="Verdana" w:cs="Arial"/>
          <w:sz w:val="20"/>
          <w:szCs w:val="20"/>
          <w:shd w:val="clear" w:color="auto" w:fill="FFFFFF"/>
          <w:lang w:val="en-GB"/>
        </w:rPr>
        <w:t>people who refuse a health plan based on religious beliefs or philosophy of life, and to undocumented migrants</w:t>
      </w:r>
      <w:r w:rsidR="00510069" w:rsidRPr="00AE38CA">
        <w:rPr>
          <w:rFonts w:ascii="Verdana" w:hAnsi="Verdana" w:cs="Arial"/>
          <w:sz w:val="20"/>
          <w:szCs w:val="20"/>
          <w:shd w:val="clear" w:color="auto" w:fill="FFFFFF"/>
          <w:lang w:val="en-GB"/>
        </w:rPr>
        <w:t xml:space="preserve"> (VWS, n.d.</w:t>
      </w:r>
      <w:r w:rsidR="006F44AC" w:rsidRPr="00AE38CA">
        <w:rPr>
          <w:rFonts w:ascii="Verdana" w:hAnsi="Verdana" w:cs="Arial"/>
          <w:sz w:val="20"/>
          <w:szCs w:val="20"/>
          <w:shd w:val="clear" w:color="auto" w:fill="FFFFFF"/>
          <w:lang w:val="en-GB"/>
        </w:rPr>
        <w:t>)</w:t>
      </w:r>
      <w:r w:rsidRPr="00AE38CA">
        <w:rPr>
          <w:rFonts w:ascii="Verdana" w:hAnsi="Verdana" w:cs="Arial"/>
          <w:sz w:val="20"/>
          <w:szCs w:val="20"/>
          <w:shd w:val="clear" w:color="auto" w:fill="FFFFFF"/>
          <w:lang w:val="en-GB"/>
        </w:rPr>
        <w:t>.</w:t>
      </w:r>
      <w:r w:rsidR="00847D5D" w:rsidRPr="00AE38CA">
        <w:rPr>
          <w:rFonts w:ascii="Verdana" w:hAnsi="Verdana" w:cs="Arial"/>
          <w:sz w:val="20"/>
          <w:szCs w:val="20"/>
          <w:shd w:val="clear" w:color="auto" w:fill="FFFFFF"/>
          <w:lang w:val="en-GB"/>
        </w:rPr>
        <w:t xml:space="preserve"> </w:t>
      </w:r>
      <w:r w:rsidRPr="00AE38CA">
        <w:rPr>
          <w:rFonts w:ascii="Verdana" w:hAnsi="Verdana" w:cs="Arial"/>
          <w:sz w:val="20"/>
          <w:szCs w:val="20"/>
          <w:shd w:val="clear" w:color="auto" w:fill="FFFFFF"/>
          <w:lang w:val="en-GB"/>
        </w:rPr>
        <w:t>A government body called CAK</w:t>
      </w:r>
      <w:r w:rsidRPr="00AE38CA">
        <w:rPr>
          <w:rFonts w:ascii="Verdana" w:hAnsi="Verdana"/>
          <w:sz w:val="20"/>
          <w:szCs w:val="20"/>
          <w:lang w:val="en-GB"/>
        </w:rPr>
        <w:t xml:space="preserve"> monitors the registration of people who fail to arrange a health plan. CAK also has processes in place for contacting these people and requesting them to arrange a health plan. Not having a health plan can eventually lead to financial penalties over a six-month period. If a plan is still not being arranged, the CAK will arrange a plan on behalf of the person for a 12-month period. The health insurance premium will then be deducted from the person’s income: either through the individual’s employer or (when on government benefits) through the national social security agency</w:t>
      </w:r>
      <w:r w:rsidR="00B9346E" w:rsidRPr="00AE38CA">
        <w:rPr>
          <w:rFonts w:ascii="Verdana" w:hAnsi="Verdana"/>
          <w:sz w:val="20"/>
          <w:szCs w:val="20"/>
          <w:lang w:val="en-GB"/>
        </w:rPr>
        <w:t xml:space="preserve"> </w:t>
      </w:r>
      <w:r w:rsidR="00E55F06" w:rsidRPr="00AE38CA">
        <w:rPr>
          <w:rFonts w:ascii="Verdana" w:hAnsi="Verdana"/>
          <w:sz w:val="20"/>
          <w:szCs w:val="20"/>
          <w:lang w:val="en-GB"/>
        </w:rPr>
        <w:t xml:space="preserve">(SVB) </w:t>
      </w:r>
      <w:r w:rsidR="00B9346E" w:rsidRPr="00AE38CA">
        <w:rPr>
          <w:rFonts w:ascii="Verdana" w:hAnsi="Verdana"/>
          <w:sz w:val="20"/>
          <w:szCs w:val="20"/>
          <w:lang w:val="en-GB"/>
        </w:rPr>
        <w:t>(Kroneman et al., 201</w:t>
      </w:r>
      <w:r w:rsidR="00E27348" w:rsidRPr="00AE38CA">
        <w:rPr>
          <w:rFonts w:ascii="Verdana" w:hAnsi="Verdana"/>
          <w:sz w:val="20"/>
          <w:szCs w:val="20"/>
          <w:lang w:val="en-GB"/>
        </w:rPr>
        <w:t>6).</w:t>
      </w:r>
    </w:p>
    <w:p w14:paraId="586FD5E2" w14:textId="77777777" w:rsidR="009519EC" w:rsidRPr="00AE38CA" w:rsidRDefault="009519EC" w:rsidP="001965B0">
      <w:pPr>
        <w:pStyle w:val="Normaalweb"/>
        <w:numPr>
          <w:ilvl w:val="0"/>
          <w:numId w:val="32"/>
        </w:numPr>
        <w:shd w:val="clear" w:color="auto" w:fill="FFFFFF"/>
        <w:rPr>
          <w:rFonts w:ascii="Verdana" w:hAnsi="Verdana" w:cs="RijksoverheidSerif-Regular"/>
          <w:sz w:val="19"/>
          <w:szCs w:val="19"/>
          <w:u w:val="single"/>
          <w:lang w:val="en-GB"/>
        </w:rPr>
      </w:pPr>
      <w:r w:rsidRPr="00AE38CA">
        <w:rPr>
          <w:rFonts w:ascii="Verdana" w:hAnsi="Verdana" w:cs="RijksoverheidSerif-Regular"/>
          <w:sz w:val="19"/>
          <w:szCs w:val="19"/>
          <w:u w:val="single"/>
          <w:lang w:val="en-GB"/>
        </w:rPr>
        <w:t>Youth Act</w:t>
      </w:r>
    </w:p>
    <w:p w14:paraId="556D321E" w14:textId="70781EAB" w:rsidR="009519EC" w:rsidRPr="00AE38CA" w:rsidRDefault="009519EC" w:rsidP="009519EC">
      <w:pPr>
        <w:pStyle w:val="Plattetekst"/>
        <w:rPr>
          <w:rFonts w:cs="Arial"/>
          <w:shd w:val="clear" w:color="auto" w:fill="FFFFFF"/>
        </w:rPr>
      </w:pPr>
      <w:r w:rsidRPr="00AE38CA">
        <w:rPr>
          <w:lang w:bidi="en-GB"/>
        </w:rPr>
        <w:t>As described in Section</w:t>
      </w:r>
      <w:r w:rsidR="00B57F71" w:rsidRPr="00AE38CA">
        <w:rPr>
          <w:lang w:bidi="en-GB"/>
        </w:rPr>
        <w:t xml:space="preserve"> 3.0,</w:t>
      </w:r>
      <w:r w:rsidRPr="00AE38CA">
        <w:rPr>
          <w:lang w:bidi="en-GB"/>
        </w:rPr>
        <w:t xml:space="preserve"> the Dutch social and health care system has undergone a major transformation by shifting key responsibilities and tasks from national level to municipalities at local level. This change include</w:t>
      </w:r>
      <w:r w:rsidR="00DE6D7F" w:rsidRPr="00AE38CA">
        <w:rPr>
          <w:lang w:bidi="en-GB"/>
        </w:rPr>
        <w:t>d</w:t>
      </w:r>
      <w:r w:rsidRPr="00AE38CA">
        <w:rPr>
          <w:lang w:bidi="en-GB"/>
        </w:rPr>
        <w:t xml:space="preserve"> the implementation of the new Dutch Youth Act in 2015 for children, adolescents and their parents. </w:t>
      </w:r>
      <w:r w:rsidR="005136A8" w:rsidRPr="00AE38CA">
        <w:rPr>
          <w:lang w:bidi="en-GB"/>
        </w:rPr>
        <w:t xml:space="preserve">Under </w:t>
      </w:r>
      <w:r w:rsidRPr="00AE38CA">
        <w:rPr>
          <w:lang w:bidi="en-GB"/>
        </w:rPr>
        <w:t xml:space="preserve">this act, local authorities are responsible </w:t>
      </w:r>
      <w:r w:rsidR="003B1027" w:rsidRPr="00AE38CA">
        <w:rPr>
          <w:lang w:bidi="en-GB"/>
        </w:rPr>
        <w:t>for</w:t>
      </w:r>
      <w:r w:rsidRPr="00AE38CA">
        <w:rPr>
          <w:lang w:bidi="en-GB"/>
        </w:rPr>
        <w:t xml:space="preserve"> provid</w:t>
      </w:r>
      <w:r w:rsidR="003B1027" w:rsidRPr="00AE38CA">
        <w:rPr>
          <w:lang w:bidi="en-GB"/>
        </w:rPr>
        <w:t>ing</w:t>
      </w:r>
      <w:r w:rsidRPr="00AE38CA">
        <w:rPr>
          <w:lang w:bidi="en-GB"/>
        </w:rPr>
        <w:t xml:space="preserve"> access to health care services, ranging from </w:t>
      </w:r>
      <w:r w:rsidRPr="00AE38CA">
        <w:rPr>
          <w:rFonts w:cs="RijksoverheidSerif-Bold"/>
          <w:bCs/>
          <w:lang w:eastAsia="nl-NL"/>
        </w:rPr>
        <w:t xml:space="preserve">general prevention to specialised voluntary or compulsory care. However, ongoing care is covered by </w:t>
      </w:r>
      <w:r w:rsidRPr="00AE38CA">
        <w:rPr>
          <w:lang w:bidi="en-GB"/>
        </w:rPr>
        <w:t>the Long-Term Care Act</w:t>
      </w:r>
      <w:r w:rsidR="0031285A" w:rsidRPr="00AE38CA">
        <w:rPr>
          <w:lang w:bidi="en-GB"/>
        </w:rPr>
        <w:t xml:space="preserve"> (VWS, 2016)</w:t>
      </w:r>
      <w:r w:rsidRPr="00AE38CA">
        <w:rPr>
          <w:lang w:bidi="en-GB"/>
        </w:rPr>
        <w:t>.</w:t>
      </w:r>
      <w:r w:rsidRPr="00AE38CA">
        <w:rPr>
          <w:rFonts w:cs="Arial"/>
          <w:shd w:val="clear" w:color="auto" w:fill="FFFFFF"/>
        </w:rPr>
        <w:t xml:space="preserve"> Within each municipalit</w:t>
      </w:r>
      <w:r w:rsidR="005C713D" w:rsidRPr="00AE38CA">
        <w:rPr>
          <w:rFonts w:cs="Arial"/>
          <w:shd w:val="clear" w:color="auto" w:fill="FFFFFF"/>
        </w:rPr>
        <w:t>y</w:t>
      </w:r>
      <w:r w:rsidRPr="00AE38CA">
        <w:rPr>
          <w:rFonts w:cs="Arial"/>
          <w:shd w:val="clear" w:color="auto" w:fill="FFFFFF"/>
        </w:rPr>
        <w:t xml:space="preserve">, access to child </w:t>
      </w:r>
      <w:r w:rsidR="005C713D" w:rsidRPr="00AE38CA">
        <w:rPr>
          <w:rFonts w:cs="Arial"/>
          <w:shd w:val="clear" w:color="auto" w:fill="FFFFFF"/>
        </w:rPr>
        <w:t>health</w:t>
      </w:r>
      <w:r w:rsidR="005136A8" w:rsidRPr="00AE38CA">
        <w:rPr>
          <w:rFonts w:cs="Arial"/>
          <w:shd w:val="clear" w:color="auto" w:fill="FFFFFF"/>
        </w:rPr>
        <w:t xml:space="preserve"> </w:t>
      </w:r>
      <w:r w:rsidRPr="00AE38CA">
        <w:rPr>
          <w:rFonts w:cs="Arial"/>
          <w:shd w:val="clear" w:color="auto" w:fill="FFFFFF"/>
        </w:rPr>
        <w:t>care is usually provided through three local ‘entry points’:</w:t>
      </w:r>
    </w:p>
    <w:p w14:paraId="59287BC5" w14:textId="3DA3B70E" w:rsidR="009519EC" w:rsidRPr="00AE38CA" w:rsidRDefault="009519EC" w:rsidP="001965B0">
      <w:pPr>
        <w:pStyle w:val="Normaalweb"/>
        <w:numPr>
          <w:ilvl w:val="0"/>
          <w:numId w:val="26"/>
        </w:numPr>
        <w:shd w:val="clear" w:color="auto" w:fill="FFFFFF"/>
        <w:ind w:left="284" w:hanging="284"/>
        <w:rPr>
          <w:rFonts w:ascii="Verdana" w:hAnsi="Verdana" w:cs="Arial"/>
          <w:sz w:val="20"/>
          <w:szCs w:val="20"/>
          <w:lang w:val="en-GB"/>
        </w:rPr>
      </w:pPr>
      <w:r w:rsidRPr="00AE38CA">
        <w:rPr>
          <w:rFonts w:ascii="Verdana" w:hAnsi="Verdana" w:cs="Arial"/>
          <w:sz w:val="20"/>
          <w:szCs w:val="20"/>
          <w:shd w:val="clear" w:color="auto" w:fill="FFFFFF"/>
          <w:lang w:val="en-GB"/>
        </w:rPr>
        <w:t>general practitioners (GPs)</w:t>
      </w:r>
      <w:r w:rsidR="005136A8" w:rsidRPr="00AE38CA">
        <w:rPr>
          <w:rFonts w:ascii="Verdana" w:hAnsi="Verdana" w:cs="Arial"/>
          <w:sz w:val="20"/>
          <w:szCs w:val="20"/>
          <w:shd w:val="clear" w:color="auto" w:fill="FFFFFF"/>
          <w:lang w:val="en-GB"/>
        </w:rPr>
        <w:t>;</w:t>
      </w:r>
    </w:p>
    <w:p w14:paraId="01210A5D" w14:textId="6E6300B7" w:rsidR="009519EC" w:rsidRPr="00AE38CA" w:rsidRDefault="009519EC" w:rsidP="001965B0">
      <w:pPr>
        <w:pStyle w:val="Normaalweb"/>
        <w:numPr>
          <w:ilvl w:val="0"/>
          <w:numId w:val="26"/>
        </w:numPr>
        <w:shd w:val="clear" w:color="auto" w:fill="FFFFFF"/>
        <w:ind w:left="284" w:hanging="284"/>
        <w:rPr>
          <w:rFonts w:ascii="Verdana" w:hAnsi="Verdana" w:cs="Arial"/>
          <w:sz w:val="20"/>
          <w:szCs w:val="20"/>
          <w:lang w:val="en-GB"/>
        </w:rPr>
      </w:pPr>
      <w:r w:rsidRPr="00AE38CA">
        <w:rPr>
          <w:rFonts w:ascii="Verdana" w:hAnsi="Verdana" w:cs="Arial"/>
          <w:sz w:val="20"/>
          <w:szCs w:val="20"/>
          <w:shd w:val="clear" w:color="auto" w:fill="FFFFFF"/>
          <w:lang w:val="en-GB"/>
        </w:rPr>
        <w:t>local multidisciplinary health</w:t>
      </w:r>
      <w:r w:rsidR="00476870" w:rsidRPr="00AE38CA">
        <w:rPr>
          <w:rFonts w:ascii="Verdana" w:hAnsi="Verdana" w:cs="Arial"/>
          <w:sz w:val="20"/>
          <w:szCs w:val="20"/>
          <w:shd w:val="clear" w:color="auto" w:fill="FFFFFF"/>
          <w:lang w:val="en-GB"/>
        </w:rPr>
        <w:t xml:space="preserve"> </w:t>
      </w:r>
      <w:r w:rsidRPr="00AE38CA">
        <w:rPr>
          <w:rFonts w:ascii="Verdana" w:hAnsi="Verdana" w:cs="Arial"/>
          <w:sz w:val="20"/>
          <w:szCs w:val="20"/>
          <w:shd w:val="clear" w:color="auto" w:fill="FFFFFF"/>
          <w:lang w:val="en-GB"/>
        </w:rPr>
        <w:t>care teams that operate within each municipality</w:t>
      </w:r>
      <w:r w:rsidR="005136A8" w:rsidRPr="00AE38CA">
        <w:rPr>
          <w:rFonts w:ascii="Verdana" w:hAnsi="Verdana" w:cs="Arial"/>
          <w:sz w:val="20"/>
          <w:szCs w:val="20"/>
          <w:shd w:val="clear" w:color="auto" w:fill="FFFFFF"/>
          <w:lang w:val="en-GB"/>
        </w:rPr>
        <w:t>;</w:t>
      </w:r>
    </w:p>
    <w:p w14:paraId="6B97446F" w14:textId="10EF0E12" w:rsidR="009519EC" w:rsidRPr="00AE38CA" w:rsidRDefault="009519EC" w:rsidP="001965B0">
      <w:pPr>
        <w:pStyle w:val="Normaalweb"/>
        <w:numPr>
          <w:ilvl w:val="0"/>
          <w:numId w:val="26"/>
        </w:numPr>
        <w:shd w:val="clear" w:color="auto" w:fill="FFFFFF"/>
        <w:ind w:left="284" w:hanging="284"/>
        <w:rPr>
          <w:rFonts w:ascii="Verdana" w:hAnsi="Verdana" w:cs="Arial"/>
          <w:sz w:val="20"/>
          <w:szCs w:val="20"/>
          <w:lang w:val="en-GB"/>
        </w:rPr>
      </w:pPr>
      <w:r w:rsidRPr="00AE38CA">
        <w:rPr>
          <w:rFonts w:ascii="Verdana" w:hAnsi="Verdana" w:cs="Arial"/>
          <w:sz w:val="20"/>
          <w:szCs w:val="20"/>
          <w:shd w:val="clear" w:color="auto" w:fill="FFFFFF"/>
          <w:lang w:val="en-GB"/>
        </w:rPr>
        <w:t xml:space="preserve">Youth and Family Centres </w:t>
      </w:r>
      <w:r w:rsidR="00074151" w:rsidRPr="00AE38CA">
        <w:rPr>
          <w:rFonts w:ascii="Verdana" w:hAnsi="Verdana" w:cs="Arial"/>
          <w:sz w:val="20"/>
          <w:szCs w:val="20"/>
          <w:shd w:val="clear" w:color="auto" w:fill="FFFFFF"/>
          <w:lang w:val="en-GB"/>
        </w:rPr>
        <w:t>(</w:t>
      </w:r>
      <w:r w:rsidR="00074151" w:rsidRPr="00AE38CA">
        <w:rPr>
          <w:rFonts w:ascii="Verdana" w:hAnsi="Verdana" w:cs="Arial"/>
          <w:i/>
          <w:sz w:val="20"/>
          <w:szCs w:val="20"/>
          <w:shd w:val="clear" w:color="auto" w:fill="FFFFFF"/>
          <w:lang w:val="en-GB"/>
        </w:rPr>
        <w:t>Centra Jeugd en Gezin</w:t>
      </w:r>
      <w:r w:rsidR="00074151" w:rsidRPr="00AE38CA">
        <w:rPr>
          <w:rFonts w:ascii="Verdana" w:hAnsi="Verdana" w:cs="Arial"/>
          <w:sz w:val="20"/>
          <w:szCs w:val="20"/>
          <w:shd w:val="clear" w:color="auto" w:fill="FFFFFF"/>
          <w:lang w:val="en-GB"/>
        </w:rPr>
        <w:t>)</w:t>
      </w:r>
      <w:r w:rsidR="00074151" w:rsidRPr="00AE38CA">
        <w:rPr>
          <w:rFonts w:ascii="Verdana" w:hAnsi="Verdana" w:cs="Arial"/>
          <w:i/>
          <w:sz w:val="20"/>
          <w:szCs w:val="20"/>
          <w:shd w:val="clear" w:color="auto" w:fill="FFFFFF"/>
          <w:lang w:val="en-GB"/>
        </w:rPr>
        <w:t xml:space="preserve"> </w:t>
      </w:r>
      <w:r w:rsidRPr="00AE38CA">
        <w:rPr>
          <w:rFonts w:ascii="Verdana" w:hAnsi="Verdana" w:cs="Arial"/>
          <w:sz w:val="20"/>
          <w:szCs w:val="20"/>
          <w:shd w:val="clear" w:color="auto" w:fill="FFFFFF"/>
          <w:lang w:val="en-GB"/>
        </w:rPr>
        <w:t>located in each municipality.</w:t>
      </w:r>
    </w:p>
    <w:p w14:paraId="25294E70" w14:textId="21C01CC5" w:rsidR="009519EC" w:rsidRPr="00AE38CA" w:rsidRDefault="009519EC" w:rsidP="000A56CF">
      <w:pPr>
        <w:pStyle w:val="Normaalweb"/>
        <w:shd w:val="clear" w:color="auto" w:fill="FFFFFF"/>
        <w:rPr>
          <w:rFonts w:ascii="Verdana" w:hAnsi="Verdana" w:cs="Arial"/>
          <w:sz w:val="20"/>
          <w:szCs w:val="20"/>
          <w:lang w:val="en-GB"/>
        </w:rPr>
      </w:pPr>
      <w:r w:rsidRPr="00AE38CA">
        <w:rPr>
          <w:rFonts w:ascii="Verdana" w:hAnsi="Verdana" w:cs="Arial"/>
          <w:sz w:val="20"/>
          <w:szCs w:val="20"/>
          <w:shd w:val="clear" w:color="auto" w:fill="FFFFFF"/>
          <w:lang w:val="en-GB"/>
        </w:rPr>
        <w:t>All three services connect children and their families to speciali</w:t>
      </w:r>
      <w:r w:rsidR="005136A8" w:rsidRPr="00AE38CA">
        <w:rPr>
          <w:rFonts w:ascii="Verdana" w:hAnsi="Verdana" w:cs="Arial"/>
          <w:sz w:val="20"/>
          <w:szCs w:val="20"/>
          <w:shd w:val="clear" w:color="auto" w:fill="FFFFFF"/>
          <w:lang w:val="en-GB"/>
        </w:rPr>
        <w:t>s</w:t>
      </w:r>
      <w:r w:rsidRPr="00AE38CA">
        <w:rPr>
          <w:rFonts w:ascii="Verdana" w:hAnsi="Verdana" w:cs="Arial"/>
          <w:sz w:val="20"/>
          <w:szCs w:val="20"/>
          <w:shd w:val="clear" w:color="auto" w:fill="FFFFFF"/>
          <w:lang w:val="en-GB"/>
        </w:rPr>
        <w:t>ed care and primary youth care services, including child health care, general social work and child protect</w:t>
      </w:r>
      <w:r w:rsidR="005136A8" w:rsidRPr="00AE38CA">
        <w:rPr>
          <w:rFonts w:ascii="Verdana" w:hAnsi="Verdana" w:cs="Arial"/>
          <w:sz w:val="20"/>
          <w:szCs w:val="20"/>
          <w:shd w:val="clear" w:color="auto" w:fill="FFFFFF"/>
          <w:lang w:val="en-GB"/>
        </w:rPr>
        <w:t>ion</w:t>
      </w:r>
      <w:r w:rsidRPr="00AE38CA">
        <w:rPr>
          <w:rFonts w:ascii="Verdana" w:hAnsi="Verdana" w:cs="Arial"/>
          <w:sz w:val="20"/>
          <w:szCs w:val="20"/>
          <w:shd w:val="clear" w:color="auto" w:fill="FFFFFF"/>
          <w:lang w:val="en-GB"/>
        </w:rPr>
        <w:t xml:space="preserve"> services</w:t>
      </w:r>
      <w:r w:rsidR="002D22BA" w:rsidRPr="00AE38CA">
        <w:rPr>
          <w:rFonts w:ascii="Verdana" w:hAnsi="Verdana" w:cs="Arial"/>
          <w:sz w:val="20"/>
          <w:szCs w:val="20"/>
          <w:shd w:val="clear" w:color="auto" w:fill="FFFFFF"/>
          <w:lang w:val="en-GB"/>
        </w:rPr>
        <w:t xml:space="preserve"> (Hilverdink et al., </w:t>
      </w:r>
      <w:r w:rsidR="008266A5" w:rsidRPr="00AE38CA">
        <w:rPr>
          <w:rFonts w:ascii="Verdana" w:hAnsi="Verdana" w:cs="Arial"/>
          <w:sz w:val="20"/>
          <w:szCs w:val="20"/>
          <w:shd w:val="clear" w:color="auto" w:fill="FFFFFF"/>
          <w:lang w:val="en-GB"/>
        </w:rPr>
        <w:t>2015)</w:t>
      </w:r>
      <w:r w:rsidRPr="00AE38CA">
        <w:rPr>
          <w:rFonts w:ascii="Verdana" w:hAnsi="Verdana" w:cs="Arial"/>
          <w:sz w:val="20"/>
          <w:szCs w:val="20"/>
          <w:shd w:val="clear" w:color="auto" w:fill="FFFFFF"/>
          <w:lang w:val="en-GB"/>
        </w:rPr>
        <w:t>. In addition to the above three services, schools are also important ‘gateway keepers’ to child health</w:t>
      </w:r>
      <w:r w:rsidR="0067539D" w:rsidRPr="00AE38CA">
        <w:rPr>
          <w:rFonts w:ascii="Verdana" w:hAnsi="Verdana" w:cs="Arial"/>
          <w:sz w:val="20"/>
          <w:szCs w:val="20"/>
          <w:shd w:val="clear" w:color="auto" w:fill="FFFFFF"/>
          <w:lang w:val="en-GB"/>
        </w:rPr>
        <w:t xml:space="preserve"> </w:t>
      </w:r>
      <w:r w:rsidRPr="00AE38CA">
        <w:rPr>
          <w:rFonts w:ascii="Verdana" w:hAnsi="Verdana" w:cs="Arial"/>
          <w:sz w:val="20"/>
          <w:szCs w:val="20"/>
          <w:shd w:val="clear" w:color="auto" w:fill="FFFFFF"/>
          <w:lang w:val="en-GB"/>
        </w:rPr>
        <w:t>care services, and they often work closely with local health professionals, such as members of local health</w:t>
      </w:r>
      <w:r w:rsidR="0067539D" w:rsidRPr="00AE38CA">
        <w:rPr>
          <w:rFonts w:ascii="Verdana" w:hAnsi="Verdana" w:cs="Arial"/>
          <w:sz w:val="20"/>
          <w:szCs w:val="20"/>
          <w:shd w:val="clear" w:color="auto" w:fill="FFFFFF"/>
          <w:lang w:val="en-GB"/>
        </w:rPr>
        <w:t xml:space="preserve"> </w:t>
      </w:r>
      <w:r w:rsidRPr="00AE38CA">
        <w:rPr>
          <w:rFonts w:ascii="Verdana" w:hAnsi="Verdana" w:cs="Arial"/>
          <w:sz w:val="20"/>
          <w:szCs w:val="20"/>
          <w:shd w:val="clear" w:color="auto" w:fill="FFFFFF"/>
          <w:lang w:val="en-GB"/>
        </w:rPr>
        <w:t xml:space="preserve">care teams and social workers. </w:t>
      </w:r>
    </w:p>
    <w:p w14:paraId="0D873CE3" w14:textId="77777777" w:rsidR="002214C0" w:rsidRPr="00AE38CA" w:rsidRDefault="002214C0">
      <w:pPr>
        <w:spacing w:after="0"/>
        <w:jc w:val="left"/>
        <w:rPr>
          <w:rFonts w:ascii="Verdana" w:hAnsi="Verdana" w:cs="Arial"/>
          <w:sz w:val="20"/>
          <w:u w:val="single"/>
          <w:shd w:val="clear" w:color="auto" w:fill="FFFFFF"/>
          <w:lang w:eastAsia="nl-NL"/>
        </w:rPr>
      </w:pPr>
      <w:r w:rsidRPr="00AE38CA">
        <w:rPr>
          <w:rFonts w:ascii="Verdana" w:hAnsi="Verdana" w:cs="Arial"/>
          <w:sz w:val="20"/>
          <w:u w:val="single"/>
          <w:shd w:val="clear" w:color="auto" w:fill="FFFFFF"/>
        </w:rPr>
        <w:br w:type="page"/>
      </w:r>
    </w:p>
    <w:p w14:paraId="3CB2E44C" w14:textId="0AE4FB3E" w:rsidR="009519EC" w:rsidRPr="00AE38CA" w:rsidRDefault="009519EC" w:rsidP="001965B0">
      <w:pPr>
        <w:pStyle w:val="Normaalweb"/>
        <w:numPr>
          <w:ilvl w:val="0"/>
          <w:numId w:val="32"/>
        </w:numPr>
        <w:shd w:val="clear" w:color="auto" w:fill="FFFFFF"/>
        <w:rPr>
          <w:rFonts w:ascii="Verdana" w:hAnsi="Verdana" w:cs="Arial"/>
          <w:sz w:val="20"/>
          <w:szCs w:val="20"/>
          <w:u w:val="single"/>
          <w:lang w:val="en-GB"/>
        </w:rPr>
      </w:pPr>
      <w:r w:rsidRPr="00AE38CA">
        <w:rPr>
          <w:rFonts w:ascii="Verdana" w:hAnsi="Verdana" w:cs="Arial"/>
          <w:sz w:val="20"/>
          <w:szCs w:val="20"/>
          <w:u w:val="single"/>
          <w:shd w:val="clear" w:color="auto" w:fill="FFFFFF"/>
          <w:lang w:val="en-GB"/>
        </w:rPr>
        <w:lastRenderedPageBreak/>
        <w:t>Long-Term Care Act</w:t>
      </w:r>
    </w:p>
    <w:p w14:paraId="35ED07A2" w14:textId="11FDA317" w:rsidR="009519EC" w:rsidRPr="00AE38CA" w:rsidRDefault="009519EC" w:rsidP="000A56CF">
      <w:pPr>
        <w:pStyle w:val="Normaalweb"/>
        <w:shd w:val="clear" w:color="auto" w:fill="FFFFFF"/>
        <w:rPr>
          <w:rFonts w:ascii="Verdana" w:hAnsi="Verdana"/>
          <w:sz w:val="20"/>
          <w:szCs w:val="20"/>
          <w:lang w:val="en-GB"/>
        </w:rPr>
      </w:pPr>
      <w:r w:rsidRPr="00AE38CA">
        <w:rPr>
          <w:rFonts w:ascii="Verdana" w:hAnsi="Verdana"/>
          <w:sz w:val="20"/>
          <w:szCs w:val="20"/>
          <w:lang w:val="en-GB"/>
        </w:rPr>
        <w:t xml:space="preserve">In 2015, the Long-Term Care Act replaced an existing act (the </w:t>
      </w:r>
      <w:r w:rsidRPr="00AE38CA">
        <w:rPr>
          <w:rFonts w:ascii="Verdana" w:hAnsi="Verdana" w:cs="RijksoverheidSerif-Bold"/>
          <w:bCs/>
          <w:sz w:val="20"/>
          <w:szCs w:val="20"/>
          <w:lang w:val="en-GB"/>
        </w:rPr>
        <w:t>General Exceptional Medical Expenses Act</w:t>
      </w:r>
      <w:r w:rsidR="00074151" w:rsidRPr="00AE38CA">
        <w:rPr>
          <w:rStyle w:val="Voetnootmarkering"/>
          <w:rFonts w:ascii="Verdana" w:hAnsi="Verdana" w:cs="RijksoverheidSerif-Bold"/>
          <w:bCs/>
          <w:sz w:val="20"/>
          <w:szCs w:val="20"/>
          <w:lang w:val="en-GB"/>
        </w:rPr>
        <w:footnoteReference w:id="10"/>
      </w:r>
      <w:r w:rsidRPr="00AE38CA">
        <w:rPr>
          <w:rFonts w:ascii="Verdana" w:hAnsi="Verdana" w:cs="RijksoverheidSerif-Bold"/>
          <w:bCs/>
          <w:sz w:val="20"/>
          <w:szCs w:val="20"/>
          <w:lang w:val="en-GB"/>
        </w:rPr>
        <w:t xml:space="preserve">) for residents </w:t>
      </w:r>
      <w:r w:rsidR="00FD62DE" w:rsidRPr="00AE38CA">
        <w:rPr>
          <w:rFonts w:ascii="Verdana" w:hAnsi="Verdana" w:cs="RijksoverheidSerif-Bold"/>
          <w:bCs/>
          <w:sz w:val="20"/>
          <w:szCs w:val="20"/>
          <w:lang w:val="en-GB"/>
        </w:rPr>
        <w:t xml:space="preserve">(including children) </w:t>
      </w:r>
      <w:r w:rsidRPr="00AE38CA">
        <w:rPr>
          <w:rFonts w:ascii="Verdana" w:hAnsi="Verdana" w:cs="RijksoverheidSerif-Bold"/>
          <w:bCs/>
          <w:sz w:val="20"/>
          <w:szCs w:val="20"/>
          <w:lang w:val="en-GB"/>
        </w:rPr>
        <w:t xml:space="preserve">in the Netherlands who require permanent or 24-hour home care. </w:t>
      </w:r>
      <w:r w:rsidRPr="00AE38CA">
        <w:rPr>
          <w:rFonts w:ascii="Verdana" w:hAnsi="Verdana"/>
          <w:sz w:val="20"/>
          <w:szCs w:val="20"/>
          <w:lang w:val="en-GB"/>
        </w:rPr>
        <w:t>The Long-Term Care Act is a compulsory health insurance policy; those paying income tax will pay premiums under this act</w:t>
      </w:r>
      <w:r w:rsidR="00C01DBB" w:rsidRPr="00AE38CA">
        <w:rPr>
          <w:rFonts w:ascii="Verdana" w:hAnsi="Verdana"/>
          <w:sz w:val="20"/>
          <w:szCs w:val="20"/>
          <w:lang w:val="en-GB"/>
        </w:rPr>
        <w:t xml:space="preserve"> (VWS, 2016)</w:t>
      </w:r>
      <w:r w:rsidRPr="00AE38CA">
        <w:rPr>
          <w:rFonts w:ascii="Verdana" w:hAnsi="Verdana"/>
          <w:sz w:val="20"/>
          <w:szCs w:val="20"/>
          <w:lang w:val="en-GB"/>
        </w:rPr>
        <w:t>.</w:t>
      </w:r>
      <w:r w:rsidRPr="00AE38CA">
        <w:rPr>
          <w:rStyle w:val="Voetnootmarkering"/>
          <w:rFonts w:ascii="Verdana" w:hAnsi="Verdana" w:cs="RijksoverheidSerif-Bold"/>
          <w:bCs/>
          <w:sz w:val="20"/>
          <w:szCs w:val="20"/>
          <w:lang w:val="en-GB"/>
        </w:rPr>
        <w:t xml:space="preserve"> </w:t>
      </w:r>
      <w:r w:rsidRPr="00AE38CA">
        <w:rPr>
          <w:rFonts w:ascii="Verdana" w:hAnsi="Verdana"/>
          <w:sz w:val="20"/>
          <w:szCs w:val="20"/>
          <w:lang w:val="en-GB"/>
        </w:rPr>
        <w:t>The same exemptions apply as with the Health Insurance Act</w:t>
      </w:r>
      <w:r w:rsidR="00557098" w:rsidRPr="00AE38CA">
        <w:rPr>
          <w:rFonts w:ascii="Verdana" w:hAnsi="Verdana"/>
          <w:sz w:val="20"/>
          <w:szCs w:val="20"/>
          <w:lang w:val="en-GB"/>
        </w:rPr>
        <w:t xml:space="preserve"> (Kroneman et al., 2016</w:t>
      </w:r>
      <w:r w:rsidR="00D20C32" w:rsidRPr="00AE38CA">
        <w:rPr>
          <w:rFonts w:ascii="Verdana" w:hAnsi="Verdana"/>
          <w:sz w:val="20"/>
          <w:szCs w:val="20"/>
          <w:lang w:val="en-GB"/>
        </w:rPr>
        <w:t>)</w:t>
      </w:r>
    </w:p>
    <w:p w14:paraId="614AAB64" w14:textId="15264406" w:rsidR="009519EC" w:rsidRPr="00AE38CA" w:rsidRDefault="009519EC" w:rsidP="000A56CF">
      <w:pPr>
        <w:pStyle w:val="Normaalweb"/>
        <w:shd w:val="clear" w:color="auto" w:fill="FFFFFF"/>
        <w:rPr>
          <w:rFonts w:ascii="Verdana" w:hAnsi="Verdana"/>
          <w:sz w:val="20"/>
          <w:szCs w:val="20"/>
          <w:lang w:val="en-GB"/>
        </w:rPr>
      </w:pPr>
      <w:r w:rsidRPr="00AE38CA">
        <w:rPr>
          <w:rFonts w:ascii="Verdana" w:hAnsi="Verdana"/>
          <w:sz w:val="20"/>
          <w:szCs w:val="20"/>
          <w:lang w:val="en-GB"/>
        </w:rPr>
        <w:t xml:space="preserve">Accessing care under this act requires contacting the Care </w:t>
      </w:r>
      <w:r w:rsidR="00201526" w:rsidRPr="00AE38CA">
        <w:rPr>
          <w:rFonts w:ascii="Verdana" w:hAnsi="Verdana"/>
          <w:sz w:val="20"/>
          <w:szCs w:val="20"/>
          <w:lang w:val="en-GB"/>
        </w:rPr>
        <w:t xml:space="preserve">Needs </w:t>
      </w:r>
      <w:r w:rsidRPr="00AE38CA">
        <w:rPr>
          <w:rFonts w:ascii="Verdana" w:hAnsi="Verdana"/>
          <w:sz w:val="20"/>
          <w:szCs w:val="20"/>
          <w:lang w:val="en-GB"/>
        </w:rPr>
        <w:t xml:space="preserve">Assessment </w:t>
      </w:r>
      <w:r w:rsidR="00201526" w:rsidRPr="00AE38CA">
        <w:rPr>
          <w:rFonts w:ascii="Verdana" w:hAnsi="Verdana"/>
          <w:sz w:val="20"/>
          <w:szCs w:val="20"/>
          <w:lang w:val="en-GB"/>
        </w:rPr>
        <w:t>Centre (</w:t>
      </w:r>
      <w:r w:rsidR="00201526" w:rsidRPr="00AE38CA">
        <w:rPr>
          <w:rFonts w:ascii="Verdana" w:hAnsi="Verdana"/>
          <w:i/>
          <w:sz w:val="20"/>
          <w:szCs w:val="20"/>
          <w:lang w:val="en-GB"/>
        </w:rPr>
        <w:t>Centrum Indicatiestelling Zorg</w:t>
      </w:r>
      <w:r w:rsidR="00201526" w:rsidRPr="00AE38CA">
        <w:rPr>
          <w:rFonts w:ascii="Verdana" w:hAnsi="Verdana"/>
          <w:sz w:val="20"/>
          <w:szCs w:val="20"/>
          <w:lang w:val="en-GB"/>
        </w:rPr>
        <w:t>)</w:t>
      </w:r>
      <w:r w:rsidRPr="00AE38CA">
        <w:rPr>
          <w:rFonts w:ascii="Verdana" w:hAnsi="Verdana"/>
          <w:sz w:val="20"/>
          <w:szCs w:val="20"/>
          <w:lang w:val="en-GB"/>
        </w:rPr>
        <w:t xml:space="preserve"> which will undertake an assessment to determine the type of care that is needed. Following the </w:t>
      </w:r>
      <w:r w:rsidR="00201526" w:rsidRPr="00AE38CA">
        <w:rPr>
          <w:rFonts w:ascii="Verdana" w:hAnsi="Verdana"/>
          <w:sz w:val="20"/>
          <w:szCs w:val="20"/>
          <w:lang w:val="en-GB"/>
        </w:rPr>
        <w:t>assessment</w:t>
      </w:r>
      <w:r w:rsidRPr="00AE38CA">
        <w:rPr>
          <w:rFonts w:ascii="Verdana" w:hAnsi="Verdana"/>
          <w:sz w:val="20"/>
          <w:szCs w:val="20"/>
          <w:lang w:val="en-GB"/>
        </w:rPr>
        <w:t xml:space="preserve">, the Care </w:t>
      </w:r>
      <w:r w:rsidR="00201526" w:rsidRPr="00AE38CA">
        <w:rPr>
          <w:rFonts w:ascii="Verdana" w:hAnsi="Verdana"/>
          <w:sz w:val="20"/>
          <w:szCs w:val="20"/>
          <w:lang w:val="en-GB"/>
        </w:rPr>
        <w:t xml:space="preserve">Needs </w:t>
      </w:r>
      <w:r w:rsidRPr="00AE38CA">
        <w:rPr>
          <w:rFonts w:ascii="Verdana" w:hAnsi="Verdana"/>
          <w:sz w:val="20"/>
          <w:szCs w:val="20"/>
          <w:lang w:val="en-GB"/>
        </w:rPr>
        <w:t xml:space="preserve">Assessment </w:t>
      </w:r>
      <w:r w:rsidR="00201526" w:rsidRPr="00AE38CA">
        <w:rPr>
          <w:rFonts w:ascii="Verdana" w:hAnsi="Verdana"/>
          <w:sz w:val="20"/>
          <w:szCs w:val="20"/>
          <w:lang w:val="en-GB"/>
        </w:rPr>
        <w:t>Centre</w:t>
      </w:r>
      <w:r w:rsidRPr="00AE38CA">
        <w:rPr>
          <w:rFonts w:ascii="Verdana" w:hAnsi="Verdana"/>
          <w:sz w:val="20"/>
          <w:szCs w:val="20"/>
          <w:lang w:val="en-GB"/>
        </w:rPr>
        <w:t xml:space="preserve"> will refer the individual to a regional </w:t>
      </w:r>
      <w:r w:rsidR="00201526" w:rsidRPr="00AE38CA">
        <w:rPr>
          <w:rFonts w:ascii="Verdana" w:hAnsi="Verdana"/>
          <w:sz w:val="20"/>
          <w:szCs w:val="20"/>
          <w:lang w:val="en-GB"/>
        </w:rPr>
        <w:t xml:space="preserve">care </w:t>
      </w:r>
      <w:r w:rsidRPr="00AE38CA">
        <w:rPr>
          <w:rFonts w:ascii="Verdana" w:hAnsi="Verdana"/>
          <w:sz w:val="20"/>
          <w:szCs w:val="20"/>
          <w:lang w:val="en-GB"/>
        </w:rPr>
        <w:t xml:space="preserve">office </w:t>
      </w:r>
      <w:r w:rsidR="00201526" w:rsidRPr="00AE38CA">
        <w:rPr>
          <w:rFonts w:ascii="Verdana" w:hAnsi="Verdana"/>
          <w:sz w:val="20"/>
          <w:szCs w:val="20"/>
          <w:lang w:val="en-GB"/>
        </w:rPr>
        <w:t>(</w:t>
      </w:r>
      <w:r w:rsidR="00201526" w:rsidRPr="00AE38CA">
        <w:rPr>
          <w:rFonts w:ascii="Verdana" w:hAnsi="Verdana"/>
          <w:i/>
          <w:sz w:val="20"/>
          <w:szCs w:val="20"/>
          <w:lang w:val="en-GB"/>
        </w:rPr>
        <w:t>zorgkantoor</w:t>
      </w:r>
      <w:r w:rsidR="00201526" w:rsidRPr="00AE38CA">
        <w:rPr>
          <w:rFonts w:ascii="Verdana" w:hAnsi="Verdana"/>
          <w:sz w:val="20"/>
          <w:szCs w:val="20"/>
          <w:lang w:val="en-GB"/>
        </w:rPr>
        <w:t xml:space="preserve">). This office </w:t>
      </w:r>
      <w:r w:rsidRPr="00AE38CA">
        <w:rPr>
          <w:rFonts w:ascii="Verdana" w:hAnsi="Verdana"/>
          <w:sz w:val="20"/>
          <w:szCs w:val="20"/>
          <w:lang w:val="en-GB"/>
        </w:rPr>
        <w:t>further discuss</w:t>
      </w:r>
      <w:r w:rsidR="009522D9" w:rsidRPr="00AE38CA">
        <w:rPr>
          <w:rFonts w:ascii="Verdana" w:hAnsi="Verdana"/>
          <w:sz w:val="20"/>
          <w:szCs w:val="20"/>
          <w:lang w:val="en-GB"/>
        </w:rPr>
        <w:t>es</w:t>
      </w:r>
      <w:r w:rsidRPr="00AE38CA">
        <w:rPr>
          <w:rFonts w:ascii="Verdana" w:hAnsi="Verdana"/>
          <w:sz w:val="20"/>
          <w:szCs w:val="20"/>
          <w:lang w:val="en-GB"/>
        </w:rPr>
        <w:t xml:space="preserve"> with the individual the </w:t>
      </w:r>
      <w:r w:rsidR="009522D9" w:rsidRPr="00AE38CA">
        <w:rPr>
          <w:rFonts w:ascii="Verdana" w:hAnsi="Verdana"/>
          <w:sz w:val="20"/>
          <w:szCs w:val="20"/>
          <w:lang w:val="en-GB"/>
        </w:rPr>
        <w:t xml:space="preserve">necessary </w:t>
      </w:r>
      <w:r w:rsidRPr="00AE38CA">
        <w:rPr>
          <w:rFonts w:ascii="Verdana" w:hAnsi="Verdana"/>
          <w:sz w:val="20"/>
          <w:szCs w:val="20"/>
          <w:lang w:val="en-GB"/>
        </w:rPr>
        <w:t xml:space="preserve">care and </w:t>
      </w:r>
      <w:r w:rsidR="005541CA" w:rsidRPr="00AE38CA">
        <w:rPr>
          <w:rFonts w:ascii="Verdana" w:hAnsi="Verdana"/>
          <w:sz w:val="20"/>
          <w:szCs w:val="20"/>
          <w:lang w:val="en-GB"/>
        </w:rPr>
        <w:t>oversees</w:t>
      </w:r>
      <w:r w:rsidR="00D56AB9" w:rsidRPr="00AE38CA">
        <w:rPr>
          <w:rFonts w:ascii="Verdana" w:hAnsi="Verdana"/>
          <w:sz w:val="20"/>
          <w:szCs w:val="20"/>
          <w:lang w:val="en-GB"/>
        </w:rPr>
        <w:t xml:space="preserve"> </w:t>
      </w:r>
      <w:r w:rsidRPr="00AE38CA">
        <w:rPr>
          <w:rFonts w:ascii="Verdana" w:hAnsi="Verdana"/>
          <w:sz w:val="20"/>
          <w:szCs w:val="20"/>
          <w:lang w:val="en-GB"/>
        </w:rPr>
        <w:t xml:space="preserve">the provision of long-term care. There </w:t>
      </w:r>
      <w:r w:rsidR="0042235E" w:rsidRPr="00AE38CA">
        <w:rPr>
          <w:rFonts w:ascii="Verdana" w:hAnsi="Verdana"/>
          <w:sz w:val="20"/>
          <w:szCs w:val="20"/>
          <w:lang w:val="en-GB"/>
        </w:rPr>
        <w:t>is</w:t>
      </w:r>
      <w:r w:rsidRPr="00AE38CA">
        <w:rPr>
          <w:rFonts w:ascii="Verdana" w:hAnsi="Verdana"/>
          <w:sz w:val="20"/>
          <w:szCs w:val="20"/>
          <w:lang w:val="en-GB"/>
        </w:rPr>
        <w:t xml:space="preserve"> a total of </w:t>
      </w:r>
      <w:r w:rsidR="00201526" w:rsidRPr="00AE38CA">
        <w:rPr>
          <w:rFonts w:ascii="Verdana" w:hAnsi="Verdana"/>
          <w:sz w:val="20"/>
          <w:szCs w:val="20"/>
          <w:lang w:val="en-GB"/>
        </w:rPr>
        <w:t>32</w:t>
      </w:r>
      <w:r w:rsidRPr="00AE38CA">
        <w:rPr>
          <w:rFonts w:ascii="Verdana" w:hAnsi="Verdana"/>
          <w:sz w:val="20"/>
          <w:szCs w:val="20"/>
          <w:lang w:val="en-GB"/>
        </w:rPr>
        <w:t xml:space="preserve"> </w:t>
      </w:r>
      <w:r w:rsidR="00201526" w:rsidRPr="00AE38CA">
        <w:rPr>
          <w:rFonts w:ascii="Verdana" w:hAnsi="Verdana"/>
          <w:sz w:val="20"/>
          <w:szCs w:val="20"/>
          <w:lang w:val="en-GB"/>
        </w:rPr>
        <w:t>regional care</w:t>
      </w:r>
      <w:r w:rsidRPr="00AE38CA">
        <w:rPr>
          <w:rFonts w:ascii="Verdana" w:hAnsi="Verdana"/>
          <w:sz w:val="20"/>
          <w:szCs w:val="20"/>
          <w:lang w:val="en-GB"/>
        </w:rPr>
        <w:t xml:space="preserve"> offices located across the country</w:t>
      </w:r>
      <w:r w:rsidR="00F011EB" w:rsidRPr="00AE38CA">
        <w:rPr>
          <w:rFonts w:ascii="Verdana" w:hAnsi="Verdana"/>
          <w:sz w:val="20"/>
          <w:szCs w:val="20"/>
          <w:lang w:val="en-GB"/>
        </w:rPr>
        <w:t xml:space="preserve"> (Kroneman et al., 2016).</w:t>
      </w:r>
    </w:p>
    <w:p w14:paraId="089DF77E" w14:textId="55D10D64" w:rsidR="009519EC" w:rsidRPr="00AE38CA" w:rsidRDefault="009519EC" w:rsidP="000A56CF">
      <w:pPr>
        <w:pStyle w:val="Normaalweb"/>
        <w:shd w:val="clear" w:color="auto" w:fill="FFFFFF"/>
        <w:rPr>
          <w:rFonts w:ascii="Verdana" w:hAnsi="Verdana" w:cs="Arial"/>
          <w:sz w:val="20"/>
          <w:szCs w:val="20"/>
          <w:lang w:val="en-GB"/>
        </w:rPr>
      </w:pPr>
      <w:r w:rsidRPr="00AE38CA">
        <w:rPr>
          <w:rFonts w:ascii="Verdana" w:hAnsi="Verdana"/>
          <w:sz w:val="20"/>
          <w:szCs w:val="20"/>
          <w:lang w:val="en-GB"/>
        </w:rPr>
        <w:t>The central government is responsible for overseeing the quality requirements which the providers under the Long-Term Care Act must meet. In addition, several government agencies are responsible for supervision, such as the Dutch Healthcare Authority</w:t>
      </w:r>
      <w:r w:rsidR="00074151" w:rsidRPr="00AE38CA">
        <w:rPr>
          <w:rFonts w:ascii="Verdana" w:hAnsi="Verdana"/>
          <w:sz w:val="20"/>
          <w:szCs w:val="20"/>
          <w:lang w:val="en-GB"/>
        </w:rPr>
        <w:t xml:space="preserve"> (</w:t>
      </w:r>
      <w:r w:rsidR="00074151" w:rsidRPr="00AE38CA">
        <w:rPr>
          <w:rFonts w:ascii="Verdana" w:hAnsi="Verdana"/>
          <w:i/>
          <w:sz w:val="20"/>
          <w:szCs w:val="20"/>
          <w:lang w:val="en-GB"/>
        </w:rPr>
        <w:t>Nederlandse Zorgautoriteit)</w:t>
      </w:r>
      <w:r w:rsidRPr="00AE38CA">
        <w:rPr>
          <w:rFonts w:ascii="Verdana" w:hAnsi="Verdana"/>
          <w:sz w:val="20"/>
          <w:szCs w:val="20"/>
          <w:lang w:val="en-GB"/>
        </w:rPr>
        <w:t>, the Dutch Health</w:t>
      </w:r>
      <w:r w:rsidR="00AB5D64" w:rsidRPr="00AE38CA">
        <w:rPr>
          <w:rFonts w:ascii="Verdana" w:hAnsi="Verdana"/>
          <w:sz w:val="20"/>
          <w:szCs w:val="20"/>
          <w:lang w:val="en-GB"/>
        </w:rPr>
        <w:t xml:space="preserve"> and Youth C</w:t>
      </w:r>
      <w:r w:rsidRPr="00AE38CA">
        <w:rPr>
          <w:rFonts w:ascii="Verdana" w:hAnsi="Verdana"/>
          <w:sz w:val="20"/>
          <w:szCs w:val="20"/>
          <w:lang w:val="en-GB"/>
        </w:rPr>
        <w:t xml:space="preserve">are Inspectorate </w:t>
      </w:r>
      <w:r w:rsidR="00074151" w:rsidRPr="00AE38CA">
        <w:rPr>
          <w:rFonts w:ascii="Verdana" w:hAnsi="Verdana"/>
          <w:sz w:val="20"/>
          <w:szCs w:val="20"/>
          <w:lang w:val="en-GB"/>
        </w:rPr>
        <w:t>(</w:t>
      </w:r>
      <w:r w:rsidR="00074151" w:rsidRPr="00AE38CA">
        <w:rPr>
          <w:rFonts w:ascii="Verdana" w:hAnsi="Verdana"/>
          <w:i/>
          <w:sz w:val="20"/>
          <w:szCs w:val="20"/>
          <w:lang w:val="en-GB"/>
        </w:rPr>
        <w:t>Inspectie Gezondheidszorg</w:t>
      </w:r>
      <w:r w:rsidR="00AB5D64" w:rsidRPr="00AE38CA">
        <w:rPr>
          <w:rFonts w:ascii="Verdana" w:hAnsi="Verdana"/>
          <w:i/>
          <w:sz w:val="20"/>
          <w:szCs w:val="20"/>
          <w:lang w:val="en-GB"/>
        </w:rPr>
        <w:t xml:space="preserve"> en Jeugd</w:t>
      </w:r>
      <w:r w:rsidR="00074151" w:rsidRPr="00AE38CA">
        <w:rPr>
          <w:rFonts w:ascii="Verdana" w:hAnsi="Verdana"/>
          <w:sz w:val="20"/>
          <w:szCs w:val="20"/>
          <w:lang w:val="en-GB"/>
        </w:rPr>
        <w:t>)</w:t>
      </w:r>
      <w:r w:rsidRPr="00AE38CA">
        <w:rPr>
          <w:rFonts w:ascii="Verdana" w:hAnsi="Verdana"/>
          <w:sz w:val="20"/>
          <w:szCs w:val="20"/>
          <w:lang w:val="en-GB"/>
        </w:rPr>
        <w:t xml:space="preserve"> and the Authority for Consumers and Markets (</w:t>
      </w:r>
      <w:r w:rsidR="00074151" w:rsidRPr="00AE38CA">
        <w:rPr>
          <w:rFonts w:ascii="Verdana" w:hAnsi="Verdana"/>
          <w:i/>
          <w:sz w:val="20"/>
          <w:szCs w:val="20"/>
          <w:lang w:val="en-GB"/>
        </w:rPr>
        <w:t>Autoriteit Consument en Markt</w:t>
      </w:r>
      <w:r w:rsidR="00074151" w:rsidRPr="00AE38CA">
        <w:rPr>
          <w:rFonts w:ascii="Verdana" w:hAnsi="Verdana"/>
          <w:sz w:val="20"/>
          <w:szCs w:val="20"/>
          <w:lang w:val="en-GB"/>
        </w:rPr>
        <w:t xml:space="preserve">) </w:t>
      </w:r>
      <w:r w:rsidRPr="00AE38CA">
        <w:rPr>
          <w:rFonts w:ascii="Verdana" w:hAnsi="Verdana"/>
          <w:sz w:val="20"/>
          <w:szCs w:val="20"/>
          <w:lang w:val="en-GB"/>
        </w:rPr>
        <w:t>to oversee competition in the health</w:t>
      </w:r>
      <w:r w:rsidR="0029228E" w:rsidRPr="00AE38CA">
        <w:rPr>
          <w:rFonts w:ascii="Verdana" w:hAnsi="Verdana"/>
          <w:sz w:val="20"/>
          <w:szCs w:val="20"/>
          <w:lang w:val="en-GB"/>
        </w:rPr>
        <w:t xml:space="preserve"> </w:t>
      </w:r>
      <w:r w:rsidRPr="00AE38CA">
        <w:rPr>
          <w:rFonts w:ascii="Verdana" w:hAnsi="Verdana"/>
          <w:sz w:val="20"/>
          <w:szCs w:val="20"/>
          <w:lang w:val="en-GB"/>
        </w:rPr>
        <w:t>care sector</w:t>
      </w:r>
      <w:r w:rsidR="00935135" w:rsidRPr="00AE38CA">
        <w:rPr>
          <w:rFonts w:ascii="Verdana" w:hAnsi="Verdana"/>
          <w:sz w:val="20"/>
          <w:szCs w:val="20"/>
          <w:lang w:val="en-GB"/>
        </w:rPr>
        <w:t xml:space="preserve"> (Kroneman et al., 2016).</w:t>
      </w:r>
    </w:p>
    <w:p w14:paraId="2F2C6049" w14:textId="77777777" w:rsidR="009519EC" w:rsidRPr="00AE38CA" w:rsidRDefault="009519EC" w:rsidP="009519EC">
      <w:pPr>
        <w:pStyle w:val="Plattetekst"/>
        <w:rPr>
          <w:b/>
          <w:lang w:bidi="en-GB"/>
        </w:rPr>
      </w:pPr>
      <w:r w:rsidRPr="00AE38CA">
        <w:rPr>
          <w:b/>
          <w:lang w:bidi="en-GB"/>
        </w:rPr>
        <w:t>National health programmes</w:t>
      </w:r>
    </w:p>
    <w:p w14:paraId="54769D3F" w14:textId="02FE00C9" w:rsidR="009519EC" w:rsidRPr="00AE38CA" w:rsidRDefault="009519EC" w:rsidP="009519EC">
      <w:pPr>
        <w:pStyle w:val="Plattetekst"/>
        <w:rPr>
          <w:lang w:bidi="en-GB"/>
        </w:rPr>
      </w:pPr>
      <w:r w:rsidRPr="00AE38CA">
        <w:rPr>
          <w:lang w:bidi="en-GB"/>
        </w:rPr>
        <w:t>The Dutch health</w:t>
      </w:r>
      <w:r w:rsidR="0029228E" w:rsidRPr="00AE38CA">
        <w:rPr>
          <w:lang w:bidi="en-GB"/>
        </w:rPr>
        <w:t xml:space="preserve"> </w:t>
      </w:r>
      <w:r w:rsidRPr="00AE38CA">
        <w:rPr>
          <w:lang w:bidi="en-GB"/>
        </w:rPr>
        <w:t xml:space="preserve">care system offers a range of health services that are available to </w:t>
      </w:r>
      <w:r w:rsidRPr="00AE38CA">
        <w:rPr>
          <w:i/>
          <w:lang w:bidi="en-GB"/>
        </w:rPr>
        <w:t>all</w:t>
      </w:r>
      <w:r w:rsidRPr="00AE38CA">
        <w:rPr>
          <w:lang w:bidi="en-GB"/>
        </w:rPr>
        <w:t xml:space="preserve"> children (up to the age of 13 years) residing in the Netherlands, namely: </w:t>
      </w:r>
    </w:p>
    <w:p w14:paraId="657B53B9" w14:textId="6570D770" w:rsidR="009519EC" w:rsidRPr="00AE38CA" w:rsidRDefault="009519EC" w:rsidP="001965B0">
      <w:pPr>
        <w:pStyle w:val="Plattetekst"/>
        <w:numPr>
          <w:ilvl w:val="0"/>
          <w:numId w:val="26"/>
        </w:numPr>
        <w:ind w:left="284" w:hanging="284"/>
        <w:rPr>
          <w:lang w:bidi="en-GB"/>
        </w:rPr>
      </w:pPr>
      <w:r w:rsidRPr="00AE38CA">
        <w:rPr>
          <w:lang w:bidi="en-GB"/>
        </w:rPr>
        <w:t>a prenatal screening programme for pregnant women to detect increased risks of birth defects</w:t>
      </w:r>
      <w:r w:rsidR="0029228E" w:rsidRPr="00AE38CA">
        <w:rPr>
          <w:lang w:bidi="en-GB"/>
        </w:rPr>
        <w:t>;</w:t>
      </w:r>
    </w:p>
    <w:p w14:paraId="4747D83E" w14:textId="3505DB47" w:rsidR="009519EC" w:rsidRPr="00AE38CA" w:rsidRDefault="009519EC" w:rsidP="001965B0">
      <w:pPr>
        <w:pStyle w:val="Plattetekst"/>
        <w:numPr>
          <w:ilvl w:val="0"/>
          <w:numId w:val="26"/>
        </w:numPr>
        <w:ind w:left="284" w:hanging="284"/>
        <w:rPr>
          <w:lang w:bidi="en-GB"/>
        </w:rPr>
      </w:pPr>
      <w:r w:rsidRPr="00AE38CA">
        <w:rPr>
          <w:lang w:bidi="en-GB"/>
        </w:rPr>
        <w:t>a heel prick test for young infants to detect a number of rare and severe diseases</w:t>
      </w:r>
      <w:r w:rsidR="0029228E" w:rsidRPr="00AE38CA">
        <w:rPr>
          <w:lang w:bidi="en-GB"/>
        </w:rPr>
        <w:t>;</w:t>
      </w:r>
    </w:p>
    <w:p w14:paraId="2A3F9BEA" w14:textId="3CB9F960" w:rsidR="009519EC" w:rsidRPr="00AE38CA" w:rsidRDefault="009519EC" w:rsidP="001965B0">
      <w:pPr>
        <w:pStyle w:val="Plattetekst"/>
        <w:numPr>
          <w:ilvl w:val="0"/>
          <w:numId w:val="26"/>
        </w:numPr>
        <w:ind w:left="284" w:hanging="284"/>
        <w:rPr>
          <w:lang w:bidi="en-GB"/>
        </w:rPr>
      </w:pPr>
      <w:r w:rsidRPr="00AE38CA">
        <w:rPr>
          <w:lang w:bidi="en-GB"/>
        </w:rPr>
        <w:t>a hearing screening test for young infants to detect hearing deficits</w:t>
      </w:r>
      <w:r w:rsidR="0029228E" w:rsidRPr="00AE38CA">
        <w:rPr>
          <w:lang w:bidi="en-GB"/>
        </w:rPr>
        <w:t>;</w:t>
      </w:r>
    </w:p>
    <w:p w14:paraId="654D2E3B" w14:textId="45A0B5C3" w:rsidR="009519EC" w:rsidRPr="00AE38CA" w:rsidRDefault="009519EC" w:rsidP="001965B0">
      <w:pPr>
        <w:pStyle w:val="Plattetekst"/>
        <w:numPr>
          <w:ilvl w:val="0"/>
          <w:numId w:val="26"/>
        </w:numPr>
        <w:ind w:left="284" w:hanging="284"/>
        <w:rPr>
          <w:lang w:bidi="en-GB"/>
        </w:rPr>
      </w:pPr>
      <w:r w:rsidRPr="00AE38CA">
        <w:rPr>
          <w:lang w:bidi="en-GB"/>
        </w:rPr>
        <w:t>vaccination services as part of the National Immunisation Programme (RPV) to children aged 0 to 13 years old</w:t>
      </w:r>
      <w:r w:rsidR="0029228E" w:rsidRPr="00AE38CA">
        <w:rPr>
          <w:lang w:bidi="en-GB"/>
        </w:rPr>
        <w:t>;</w:t>
      </w:r>
    </w:p>
    <w:p w14:paraId="5CF37F8C" w14:textId="77777777" w:rsidR="009519EC" w:rsidRPr="00AE38CA" w:rsidRDefault="009519EC" w:rsidP="001965B0">
      <w:pPr>
        <w:pStyle w:val="Plattetekst"/>
        <w:numPr>
          <w:ilvl w:val="0"/>
          <w:numId w:val="26"/>
        </w:numPr>
        <w:ind w:left="284" w:hanging="284"/>
        <w:rPr>
          <w:lang w:bidi="en-GB"/>
        </w:rPr>
      </w:pPr>
      <w:r w:rsidRPr="00AE38CA">
        <w:rPr>
          <w:lang w:bidi="en-GB"/>
        </w:rPr>
        <w:t xml:space="preserve">health checks as part of a national health screening programme to children aged 0 to 11 years old. </w:t>
      </w:r>
    </w:p>
    <w:p w14:paraId="04711034" w14:textId="679FC6A5" w:rsidR="009519EC" w:rsidRPr="00AE38CA" w:rsidRDefault="009519EC" w:rsidP="009519EC">
      <w:pPr>
        <w:pStyle w:val="Plattetekst"/>
        <w:rPr>
          <w:lang w:bidi="en-GB"/>
        </w:rPr>
      </w:pPr>
      <w:r w:rsidRPr="00AE38CA">
        <w:rPr>
          <w:lang w:bidi="en-GB"/>
        </w:rPr>
        <w:t>The above health</w:t>
      </w:r>
      <w:r w:rsidR="0029228E" w:rsidRPr="00AE38CA">
        <w:rPr>
          <w:lang w:bidi="en-GB"/>
        </w:rPr>
        <w:t xml:space="preserve"> </w:t>
      </w:r>
      <w:r w:rsidRPr="00AE38CA">
        <w:rPr>
          <w:lang w:bidi="en-GB"/>
        </w:rPr>
        <w:t>care services are non-compulsory, mainly focused on preventative health</w:t>
      </w:r>
      <w:r w:rsidR="0029228E" w:rsidRPr="00AE38CA">
        <w:rPr>
          <w:lang w:bidi="en-GB"/>
        </w:rPr>
        <w:t xml:space="preserve"> </w:t>
      </w:r>
      <w:r w:rsidRPr="00AE38CA">
        <w:rPr>
          <w:lang w:bidi="en-GB"/>
        </w:rPr>
        <w:t>care and subsid</w:t>
      </w:r>
      <w:r w:rsidR="0029228E" w:rsidRPr="00AE38CA">
        <w:rPr>
          <w:lang w:bidi="en-GB"/>
        </w:rPr>
        <w:t>is</w:t>
      </w:r>
      <w:r w:rsidRPr="00AE38CA">
        <w:rPr>
          <w:lang w:bidi="en-GB"/>
        </w:rPr>
        <w:t>ed by the central government (participation does not involve any costs). The programmes are overseen and monitored by the Dutch National Institute for Public Health and the Environment (RIVM) and locally administered by midwives</w:t>
      </w:r>
      <w:r w:rsidR="00C5011D" w:rsidRPr="00AE38CA">
        <w:rPr>
          <w:lang w:bidi="en-GB"/>
        </w:rPr>
        <w:t>’</w:t>
      </w:r>
      <w:r w:rsidRPr="00AE38CA">
        <w:rPr>
          <w:lang w:bidi="en-GB"/>
        </w:rPr>
        <w:t xml:space="preserve"> practices, baby and toddler clinics, municipal health service centres, Youth and Family Centres and local community health services. </w:t>
      </w:r>
    </w:p>
    <w:p w14:paraId="07FCF06C" w14:textId="0BC9AF2C" w:rsidR="009519EC" w:rsidRPr="00AE38CA" w:rsidRDefault="009519EC" w:rsidP="009519EC">
      <w:pPr>
        <w:pStyle w:val="Plattetekst"/>
        <w:rPr>
          <w:lang w:bidi="en-GB"/>
        </w:rPr>
      </w:pPr>
      <w:r w:rsidRPr="00AE38CA">
        <w:rPr>
          <w:lang w:bidi="en-GB"/>
        </w:rPr>
        <w:t>With the exception of refugee children, the Dutch health</w:t>
      </w:r>
      <w:r w:rsidR="00C5011D" w:rsidRPr="00AE38CA">
        <w:rPr>
          <w:lang w:bidi="en-GB"/>
        </w:rPr>
        <w:t xml:space="preserve"> </w:t>
      </w:r>
      <w:r w:rsidRPr="00AE38CA">
        <w:rPr>
          <w:lang w:bidi="en-GB"/>
        </w:rPr>
        <w:t>care system does not offer specific health</w:t>
      </w:r>
      <w:r w:rsidR="00DF7012" w:rsidRPr="00AE38CA">
        <w:rPr>
          <w:lang w:bidi="en-GB"/>
        </w:rPr>
        <w:t xml:space="preserve"> </w:t>
      </w:r>
      <w:r w:rsidRPr="00AE38CA">
        <w:rPr>
          <w:lang w:bidi="en-GB"/>
        </w:rPr>
        <w:t xml:space="preserve">care programmes to one of the FSCG target groups. However, for refugee children, some national measures </w:t>
      </w:r>
      <w:r w:rsidR="00DF7012" w:rsidRPr="00AE38CA">
        <w:rPr>
          <w:lang w:bidi="en-GB"/>
        </w:rPr>
        <w:t>exist</w:t>
      </w:r>
      <w:r w:rsidRPr="00AE38CA">
        <w:rPr>
          <w:lang w:bidi="en-GB"/>
        </w:rPr>
        <w:t xml:space="preserve">. For example, during the asylum seeking procedure, the Dutch government and health insurer Menzis </w:t>
      </w:r>
      <w:r w:rsidR="00DF7012" w:rsidRPr="00AE38CA">
        <w:rPr>
          <w:lang w:bidi="en-GB"/>
        </w:rPr>
        <w:t xml:space="preserve">are </w:t>
      </w:r>
      <w:r w:rsidRPr="00AE38CA">
        <w:rPr>
          <w:lang w:bidi="en-GB"/>
        </w:rPr>
        <w:t>responsible for the provision of housing, food and health</w:t>
      </w:r>
      <w:r w:rsidR="00DF7012" w:rsidRPr="00AE38CA">
        <w:rPr>
          <w:lang w:bidi="en-GB"/>
        </w:rPr>
        <w:t xml:space="preserve"> </w:t>
      </w:r>
      <w:r w:rsidRPr="00AE38CA">
        <w:rPr>
          <w:lang w:bidi="en-GB"/>
        </w:rPr>
        <w:t>care services including financing the health care insurance premium for refugee children and adults aged 0 to 25 years. After children are being placed in an asylum seeker</w:t>
      </w:r>
      <w:r w:rsidR="00357408" w:rsidRPr="00AE38CA">
        <w:rPr>
          <w:lang w:bidi="en-GB"/>
        </w:rPr>
        <w:t>s’</w:t>
      </w:r>
      <w:r w:rsidRPr="00AE38CA">
        <w:rPr>
          <w:lang w:bidi="en-GB"/>
        </w:rPr>
        <w:t xml:space="preserve"> centre (located in municipalities), the Dutch Central Agency for the Reception of Asylum Seekers (COA) and the local municipality </w:t>
      </w:r>
      <w:r w:rsidR="00357408" w:rsidRPr="00AE38CA">
        <w:rPr>
          <w:lang w:bidi="en-GB"/>
        </w:rPr>
        <w:t xml:space="preserve">are </w:t>
      </w:r>
      <w:r w:rsidRPr="00AE38CA">
        <w:rPr>
          <w:lang w:bidi="en-GB"/>
        </w:rPr>
        <w:t>responsible for providing access to child health</w:t>
      </w:r>
      <w:r w:rsidR="00357408" w:rsidRPr="00AE38CA">
        <w:rPr>
          <w:lang w:bidi="en-GB"/>
        </w:rPr>
        <w:t xml:space="preserve"> </w:t>
      </w:r>
      <w:r w:rsidRPr="00AE38CA">
        <w:rPr>
          <w:lang w:bidi="en-GB"/>
        </w:rPr>
        <w:t xml:space="preserve">care services to refugee children and for monitoring their overall safety and wellbeing. On behalf of the Ministry of Health, Welfare and Sport, the local community health services (in </w:t>
      </w:r>
      <w:r w:rsidRPr="00AE38CA">
        <w:rPr>
          <w:lang w:bidi="en-GB"/>
        </w:rPr>
        <w:lastRenderedPageBreak/>
        <w:t xml:space="preserve">Dutch called ‘GGDs’) are carrying out specific preventative health tasks among refugee children aged 0 to 19 years. These tasks include conducting health screening intakes and periodic health </w:t>
      </w:r>
      <w:r w:rsidR="0042235E" w:rsidRPr="00AE38CA">
        <w:rPr>
          <w:lang w:bidi="en-GB"/>
        </w:rPr>
        <w:t>checks and</w:t>
      </w:r>
      <w:r w:rsidRPr="00AE38CA">
        <w:rPr>
          <w:lang w:bidi="en-GB"/>
        </w:rPr>
        <w:t xml:space="preserve"> determining the need for a vaccination plan in accordance </w:t>
      </w:r>
      <w:r w:rsidR="002120FC" w:rsidRPr="00AE38CA">
        <w:rPr>
          <w:lang w:bidi="en-GB"/>
        </w:rPr>
        <w:t xml:space="preserve">with </w:t>
      </w:r>
      <w:r w:rsidRPr="00AE38CA">
        <w:rPr>
          <w:lang w:bidi="en-GB"/>
        </w:rPr>
        <w:t xml:space="preserve">the </w:t>
      </w:r>
      <w:r w:rsidR="002120FC" w:rsidRPr="00AE38CA">
        <w:rPr>
          <w:lang w:bidi="en-GB"/>
        </w:rPr>
        <w:t>N</w:t>
      </w:r>
      <w:r w:rsidRPr="00AE38CA">
        <w:rPr>
          <w:lang w:bidi="en-GB"/>
        </w:rPr>
        <w:t xml:space="preserve">ational </w:t>
      </w:r>
      <w:r w:rsidR="002120FC" w:rsidRPr="00AE38CA">
        <w:rPr>
          <w:lang w:bidi="en-GB"/>
        </w:rPr>
        <w:t>I</w:t>
      </w:r>
      <w:r w:rsidRPr="00AE38CA">
        <w:rPr>
          <w:lang w:bidi="en-GB"/>
        </w:rPr>
        <w:t xml:space="preserve">mmunisation </w:t>
      </w:r>
      <w:r w:rsidR="002120FC" w:rsidRPr="00AE38CA">
        <w:rPr>
          <w:lang w:bidi="en-GB"/>
        </w:rPr>
        <w:t>P</w:t>
      </w:r>
      <w:r w:rsidRPr="00AE38CA">
        <w:rPr>
          <w:lang w:bidi="en-GB"/>
        </w:rPr>
        <w:t>rogramme.</w:t>
      </w:r>
    </w:p>
    <w:p w14:paraId="1B52C88A" w14:textId="21B44E31" w:rsidR="00B62A90" w:rsidRPr="00AE38CA" w:rsidRDefault="00B62A90" w:rsidP="00B62A90">
      <w:pPr>
        <w:pStyle w:val="Plattetekst"/>
        <w:rPr>
          <w:b/>
          <w:lang w:bidi="en-GB"/>
        </w:rPr>
      </w:pPr>
      <w:r w:rsidRPr="00AE38CA">
        <w:rPr>
          <w:b/>
          <w:lang w:bidi="en-GB"/>
        </w:rPr>
        <w:t xml:space="preserve">Assessment </w:t>
      </w:r>
    </w:p>
    <w:p w14:paraId="0DA0060D" w14:textId="1416D134" w:rsidR="009519EC" w:rsidRPr="00AE38CA" w:rsidRDefault="009519EC" w:rsidP="001965B0">
      <w:pPr>
        <w:pStyle w:val="Plattetekst"/>
        <w:numPr>
          <w:ilvl w:val="0"/>
          <w:numId w:val="34"/>
        </w:numPr>
        <w:rPr>
          <w:lang w:bidi="en-GB"/>
        </w:rPr>
      </w:pPr>
      <w:r w:rsidRPr="00AE38CA">
        <w:rPr>
          <w:lang w:bidi="en-GB"/>
        </w:rPr>
        <w:t>Inequalities in health outcomes</w:t>
      </w:r>
    </w:p>
    <w:p w14:paraId="4F14D7A5" w14:textId="7DB55CA9" w:rsidR="009519EC" w:rsidRPr="00AE38CA" w:rsidRDefault="009519EC" w:rsidP="009519EC">
      <w:pPr>
        <w:pStyle w:val="Plattetekst"/>
      </w:pPr>
      <w:r w:rsidRPr="00AE38CA">
        <w:t>Notwithstanding the availability of free basic health</w:t>
      </w:r>
      <w:r w:rsidR="00163131" w:rsidRPr="00AE38CA">
        <w:t xml:space="preserve"> </w:t>
      </w:r>
      <w:r w:rsidRPr="00AE38CA">
        <w:t xml:space="preserve">care services to all children residing in the Netherlands, there are inequalities in health outcomes among young people in the Netherlands. </w:t>
      </w:r>
    </w:p>
    <w:p w14:paraId="2E828D2F" w14:textId="77777777" w:rsidR="00A10A3A" w:rsidRPr="00AE38CA" w:rsidRDefault="009519EC" w:rsidP="009519EC">
      <w:pPr>
        <w:pStyle w:val="Plattetekst"/>
      </w:pPr>
      <w:r w:rsidRPr="00AE38CA">
        <w:t>Research has shown that in the Netherlands, people with a lower socioeconomic status (SES) have</w:t>
      </w:r>
      <w:r w:rsidR="005204EC" w:rsidRPr="00AE38CA">
        <w:t xml:space="preserve"> </w:t>
      </w:r>
      <w:r w:rsidRPr="00AE38CA">
        <w:t>poorer health outcomes than those with a higher SES and higher education levels</w:t>
      </w:r>
      <w:r w:rsidR="008372D8" w:rsidRPr="00AE38CA">
        <w:t xml:space="preserve"> (Kroneman et al., 2016).</w:t>
      </w:r>
      <w:r w:rsidRPr="00AE38CA">
        <w:t xml:space="preserve"> </w:t>
      </w:r>
      <w:r w:rsidR="007B2860" w:rsidRPr="00AE38CA">
        <w:t>For example,</w:t>
      </w:r>
      <w:r w:rsidR="00055232" w:rsidRPr="00AE38CA">
        <w:t xml:space="preserve"> between 2014-2016,</w:t>
      </w:r>
      <w:r w:rsidR="007B2860" w:rsidRPr="00AE38CA">
        <w:t xml:space="preserve"> </w:t>
      </w:r>
      <w:r w:rsidR="00055232" w:rsidRPr="00AE38CA">
        <w:t xml:space="preserve">the life expectancy </w:t>
      </w:r>
      <w:r w:rsidR="00163131" w:rsidRPr="00AE38CA">
        <w:t xml:space="preserve">of </w:t>
      </w:r>
      <w:r w:rsidR="00055232" w:rsidRPr="00AE38CA">
        <w:t xml:space="preserve">people from low income groups was estimated at 51 years, whilst this </w:t>
      </w:r>
      <w:r w:rsidR="004504D4" w:rsidRPr="00AE38CA">
        <w:t xml:space="preserve">was estimated at 65 </w:t>
      </w:r>
      <w:r w:rsidR="0019049D" w:rsidRPr="00AE38CA">
        <w:t>years</w:t>
      </w:r>
      <w:r w:rsidR="004504D4" w:rsidRPr="00AE38CA">
        <w:t xml:space="preserve"> for people from higher income groups.</w:t>
      </w:r>
      <w:r w:rsidR="000931F1" w:rsidRPr="00AE38CA">
        <w:t xml:space="preserve"> Moreover, </w:t>
      </w:r>
      <w:r w:rsidRPr="00AE38CA">
        <w:t>people with higher incomes generally report being in good health more often than people with lower incomes</w:t>
      </w:r>
      <w:r w:rsidR="00D5202C" w:rsidRPr="00AE38CA">
        <w:t xml:space="preserve"> (CBS, 2018)</w:t>
      </w:r>
      <w:r w:rsidRPr="00AE38CA">
        <w:t xml:space="preserve">. </w:t>
      </w:r>
    </w:p>
    <w:p w14:paraId="6F8CD6E2" w14:textId="6064BD2A" w:rsidR="009519EC" w:rsidRPr="00AE38CA" w:rsidRDefault="00A10A3A" w:rsidP="009519EC">
      <w:pPr>
        <w:pStyle w:val="Plattetekst"/>
        <w:rPr>
          <w:lang w:bidi="en-GB"/>
        </w:rPr>
      </w:pPr>
      <w:r w:rsidRPr="00AE38CA">
        <w:rPr>
          <w:lang w:bidi="en-GB"/>
        </w:rPr>
        <w:t>As the TGs are overrepresented in the low SES-group, they also have poorer health outcomes.</w:t>
      </w:r>
      <w:r w:rsidR="001C2AF8" w:rsidRPr="00AE38CA">
        <w:rPr>
          <w:lang w:bidi="en-GB"/>
        </w:rPr>
        <w:t xml:space="preserve"> </w:t>
      </w:r>
      <w:r w:rsidR="008A74DA" w:rsidRPr="00AE38CA">
        <w:rPr>
          <w:lang w:bidi="en-GB"/>
        </w:rPr>
        <w:t xml:space="preserve">This can be illustrated </w:t>
      </w:r>
      <w:r w:rsidR="00DF2E68" w:rsidRPr="00AE38CA">
        <w:rPr>
          <w:lang w:bidi="en-GB"/>
        </w:rPr>
        <w:t xml:space="preserve">by the </w:t>
      </w:r>
      <w:r w:rsidR="000177AC" w:rsidRPr="00AE38CA">
        <w:rPr>
          <w:lang w:bidi="en-GB"/>
        </w:rPr>
        <w:t xml:space="preserve">TGs’ </w:t>
      </w:r>
      <w:r w:rsidR="00DF2E68" w:rsidRPr="00AE38CA">
        <w:rPr>
          <w:lang w:bidi="en-GB"/>
        </w:rPr>
        <w:t xml:space="preserve">relatively high level of unmet medical needs </w:t>
      </w:r>
      <w:r w:rsidR="000D07A2" w:rsidRPr="00AE38CA">
        <w:rPr>
          <w:lang w:bidi="en-GB"/>
        </w:rPr>
        <w:t xml:space="preserve">in </w:t>
      </w:r>
      <w:r w:rsidR="00D8630A" w:rsidRPr="00AE38CA">
        <w:rPr>
          <w:lang w:bidi="en-GB"/>
        </w:rPr>
        <w:t xml:space="preserve">the Netherlands </w:t>
      </w:r>
      <w:r w:rsidR="001C2AF8" w:rsidRPr="00AE38CA">
        <w:rPr>
          <w:lang w:bidi="en-GB"/>
        </w:rPr>
        <w:t>(Inception Report,</w:t>
      </w:r>
      <w:r w:rsidR="006A41EC" w:rsidRPr="00AE38CA">
        <w:rPr>
          <w:lang w:bidi="en-GB"/>
        </w:rPr>
        <w:t xml:space="preserve"> 2018,</w:t>
      </w:r>
      <w:r w:rsidR="001C2AF8" w:rsidRPr="00AE38CA">
        <w:rPr>
          <w:lang w:bidi="en-GB"/>
        </w:rPr>
        <w:t xml:space="preserve"> p</w:t>
      </w:r>
      <w:r w:rsidR="005D5ACA" w:rsidRPr="00AE38CA">
        <w:rPr>
          <w:lang w:bidi="en-GB"/>
        </w:rPr>
        <w:t>.</w:t>
      </w:r>
      <w:r w:rsidR="000D07A2" w:rsidRPr="00AE38CA">
        <w:rPr>
          <w:lang w:bidi="en-GB"/>
        </w:rPr>
        <w:t>63</w:t>
      </w:r>
      <w:r w:rsidR="001C2AF8" w:rsidRPr="00AE38CA">
        <w:rPr>
          <w:lang w:bidi="en-GB"/>
        </w:rPr>
        <w:t>).</w:t>
      </w:r>
    </w:p>
    <w:p w14:paraId="263AD097" w14:textId="34592211" w:rsidR="005852DD" w:rsidRPr="00AE38CA" w:rsidRDefault="005852DD" w:rsidP="001965B0">
      <w:pPr>
        <w:pStyle w:val="Plattetekst"/>
        <w:numPr>
          <w:ilvl w:val="0"/>
          <w:numId w:val="34"/>
        </w:numPr>
      </w:pPr>
      <w:r w:rsidRPr="00AE38CA">
        <w:t>Weaknesses in accessing health</w:t>
      </w:r>
      <w:r w:rsidR="00163131" w:rsidRPr="00AE38CA">
        <w:t xml:space="preserve"> </w:t>
      </w:r>
      <w:r w:rsidRPr="00AE38CA">
        <w:t>care services</w:t>
      </w:r>
    </w:p>
    <w:p w14:paraId="091CA201" w14:textId="3CCB38BC" w:rsidR="009519EC" w:rsidRPr="00AE38CA" w:rsidRDefault="009519EC" w:rsidP="009519EC">
      <w:pPr>
        <w:pStyle w:val="Plattetekst"/>
      </w:pPr>
      <w:r w:rsidRPr="00AE38CA">
        <w:t>Importantly, evaluation outcomes on the implementation of the Youth Act highlight that the renewed child health</w:t>
      </w:r>
      <w:r w:rsidR="00163131" w:rsidRPr="00AE38CA">
        <w:t xml:space="preserve"> </w:t>
      </w:r>
      <w:r w:rsidRPr="00AE38CA">
        <w:t>care system has led to discrepancies at local level in how children and their families can access health</w:t>
      </w:r>
      <w:r w:rsidR="00163131" w:rsidRPr="00AE38CA">
        <w:t xml:space="preserve"> </w:t>
      </w:r>
      <w:r w:rsidRPr="00AE38CA">
        <w:t>care services</w:t>
      </w:r>
      <w:r w:rsidR="00D5202C" w:rsidRPr="00AE38CA">
        <w:t xml:space="preserve"> (Folsche et al., 2018)</w:t>
      </w:r>
      <w:r w:rsidRPr="00AE38CA">
        <w:t>.</w:t>
      </w:r>
      <w:r w:rsidR="00346378" w:rsidRPr="00AE38CA">
        <w:t xml:space="preserve"> Local municipalities work with different implementation </w:t>
      </w:r>
      <w:r w:rsidR="00163131" w:rsidRPr="00AE38CA">
        <w:t xml:space="preserve">of </w:t>
      </w:r>
      <w:r w:rsidR="00346378" w:rsidRPr="00AE38CA">
        <w:t>health</w:t>
      </w:r>
      <w:r w:rsidR="003A392D" w:rsidRPr="00AE38CA">
        <w:t xml:space="preserve"> </w:t>
      </w:r>
      <w:r w:rsidR="00346378" w:rsidRPr="00AE38CA">
        <w:t>care models, leading to different pathways and processes for their residents when accessing health services</w:t>
      </w:r>
      <w:r w:rsidR="00D5202C" w:rsidRPr="00AE38CA">
        <w:t xml:space="preserve"> (ibid.)</w:t>
      </w:r>
      <w:r w:rsidR="00346378" w:rsidRPr="00AE38CA">
        <w:t>.</w:t>
      </w:r>
      <w:r w:rsidR="00346378" w:rsidRPr="00AE38CA">
        <w:rPr>
          <w:rStyle w:val="Voetnootmarkering"/>
        </w:rPr>
        <w:t xml:space="preserve"> </w:t>
      </w:r>
      <w:r w:rsidR="00C14A5A" w:rsidRPr="00AE38CA">
        <w:t xml:space="preserve">Moreover, </w:t>
      </w:r>
      <w:r w:rsidR="0065697D" w:rsidRPr="00AE38CA">
        <w:t xml:space="preserve">interviewed experts also raised concerns with </w:t>
      </w:r>
      <w:r w:rsidR="00C14A5A" w:rsidRPr="00AE38CA">
        <w:t>longer waiting lists</w:t>
      </w:r>
      <w:r w:rsidR="00885585" w:rsidRPr="00AE38CA">
        <w:t xml:space="preserve"> for youth to access appropriate care</w:t>
      </w:r>
      <w:r w:rsidR="0065697D" w:rsidRPr="00AE38CA">
        <w:t>, an increase in complex</w:t>
      </w:r>
      <w:r w:rsidR="00970A92" w:rsidRPr="00AE38CA">
        <w:t xml:space="preserve"> health issues</w:t>
      </w:r>
      <w:r w:rsidR="00A26326" w:rsidRPr="00AE38CA">
        <w:t xml:space="preserve"> and needs among families and children</w:t>
      </w:r>
      <w:r w:rsidR="00970A92" w:rsidRPr="00AE38CA">
        <w:t xml:space="preserve"> </w:t>
      </w:r>
      <w:r w:rsidR="006B6534" w:rsidRPr="00AE38CA">
        <w:t xml:space="preserve">and a lack of specialised expertise within </w:t>
      </w:r>
      <w:r w:rsidR="00157659" w:rsidRPr="00AE38CA">
        <w:t>municipalities</w:t>
      </w:r>
      <w:r w:rsidR="006B6534" w:rsidRPr="00AE38CA">
        <w:t xml:space="preserve"> to </w:t>
      </w:r>
      <w:r w:rsidR="00157659" w:rsidRPr="00AE38CA">
        <w:t>address</w:t>
      </w:r>
      <w:r w:rsidR="006B6534" w:rsidRPr="00AE38CA">
        <w:t xml:space="preserve"> complex multi-problem health cases. </w:t>
      </w:r>
      <w:r w:rsidRPr="00AE38CA">
        <w:t>Evaluation outcomes also stress that the implementation of the Youth Act is still in its infancy, and that municipalities need more time to review, refine and strengthen their approach in embedding child health</w:t>
      </w:r>
      <w:r w:rsidR="003A392D" w:rsidRPr="00AE38CA">
        <w:t xml:space="preserve"> </w:t>
      </w:r>
      <w:r w:rsidRPr="00AE38CA">
        <w:t>care services in their local areas.</w:t>
      </w:r>
      <w:r w:rsidRPr="00AE38CA">
        <w:rPr>
          <w:rStyle w:val="Voetnootmarkering"/>
        </w:rPr>
        <w:footnoteReference w:id="11"/>
      </w:r>
      <w:r w:rsidRPr="00AE38CA">
        <w:t xml:space="preserve"> </w:t>
      </w:r>
    </w:p>
    <w:p w14:paraId="2B3539C8" w14:textId="53D75A8D" w:rsidR="005852DD" w:rsidRPr="00AE38CA" w:rsidRDefault="005852DD" w:rsidP="001965B0">
      <w:pPr>
        <w:pStyle w:val="Plattetekst"/>
        <w:numPr>
          <w:ilvl w:val="0"/>
          <w:numId w:val="34"/>
        </w:numPr>
      </w:pPr>
      <w:r w:rsidRPr="00AE38CA">
        <w:t xml:space="preserve">Weaknesses in affordability </w:t>
      </w:r>
    </w:p>
    <w:p w14:paraId="24940EDE" w14:textId="4E1B483E" w:rsidR="0019049D" w:rsidRPr="00AE38CA" w:rsidRDefault="0019049D" w:rsidP="0019049D">
      <w:pPr>
        <w:pStyle w:val="Plattetekst"/>
      </w:pPr>
      <w:r w:rsidRPr="00AE38CA">
        <w:t xml:space="preserve">Another important note </w:t>
      </w:r>
      <w:r w:rsidR="003A392D" w:rsidRPr="00AE38CA">
        <w:t xml:space="preserve">concerns </w:t>
      </w:r>
      <w:r w:rsidRPr="00AE38CA">
        <w:t>out</w:t>
      </w:r>
      <w:r w:rsidR="003A392D" w:rsidRPr="00AE38CA">
        <w:t>-</w:t>
      </w:r>
      <w:r w:rsidRPr="00AE38CA">
        <w:t>of</w:t>
      </w:r>
      <w:r w:rsidR="003A392D" w:rsidRPr="00AE38CA">
        <w:t>-</w:t>
      </w:r>
      <w:r w:rsidRPr="00AE38CA">
        <w:t xml:space="preserve">pocket payments which are not insignificant, and </w:t>
      </w:r>
      <w:r w:rsidR="003A392D" w:rsidRPr="00AE38CA">
        <w:t xml:space="preserve">which </w:t>
      </w:r>
      <w:r w:rsidRPr="00AE38CA">
        <w:t>have increased in recent years</w:t>
      </w:r>
      <w:r w:rsidR="00F9776C" w:rsidRPr="00AE38CA">
        <w:t xml:space="preserve"> (van Waveren et al., 2018)</w:t>
      </w:r>
      <w:r w:rsidRPr="00AE38CA">
        <w:t>. The legally mandated annual co-payment (</w:t>
      </w:r>
      <w:r w:rsidRPr="00AE38CA">
        <w:rPr>
          <w:i/>
        </w:rPr>
        <w:t>eigen risico</w:t>
      </w:r>
      <w:r w:rsidRPr="00AE38CA">
        <w:t>) per adult is estimated at €385, which means that the insured pays the first €385 of the cost of all services subject to the co-payment. However, GP care, pre-natal care and pregnancy care are exempt from the co-payment, and there is compensation for those with chronic illnesses. Several services (hearing aids, etc.) require specific co-payments (unless covered by supplementary insurance). Within this context, rising health care costs are also of concern and may affect low-income households disproportionately, because they pay a larger share of their income to the health care system</w:t>
      </w:r>
      <w:r w:rsidR="00F9776C" w:rsidRPr="00AE38CA">
        <w:t xml:space="preserve"> (ibid.)</w:t>
      </w:r>
      <w:r w:rsidRPr="00AE38CA">
        <w:t>.</w:t>
      </w:r>
    </w:p>
    <w:p w14:paraId="2A7FA441" w14:textId="3AD572D5" w:rsidR="009519EC" w:rsidRPr="00AE38CA" w:rsidRDefault="009519EC" w:rsidP="009519EC">
      <w:pPr>
        <w:pStyle w:val="Plattetekst"/>
        <w:rPr>
          <w:b/>
        </w:rPr>
      </w:pPr>
      <w:r w:rsidRPr="00AE38CA">
        <w:rPr>
          <w:b/>
        </w:rPr>
        <w:t>Conclusion</w:t>
      </w:r>
    </w:p>
    <w:p w14:paraId="7DCD2BAC" w14:textId="3DB27F9B" w:rsidR="009519EC" w:rsidRPr="00AE38CA" w:rsidRDefault="009519EC" w:rsidP="009519EC">
      <w:pPr>
        <w:pStyle w:val="Plattetekst"/>
        <w:rPr>
          <w:lang w:bidi="en-GB"/>
        </w:rPr>
      </w:pPr>
      <w:r w:rsidRPr="00AE38CA">
        <w:rPr>
          <w:lang w:bidi="en-GB"/>
        </w:rPr>
        <w:t>In light of the above context, the current Dutch main health</w:t>
      </w:r>
      <w:r w:rsidR="003A392D" w:rsidRPr="00AE38CA">
        <w:rPr>
          <w:lang w:bidi="en-GB"/>
        </w:rPr>
        <w:t xml:space="preserve"> </w:t>
      </w:r>
      <w:r w:rsidRPr="00AE38CA">
        <w:rPr>
          <w:lang w:bidi="en-GB"/>
        </w:rPr>
        <w:t xml:space="preserve">care policies and programmes lead to a </w:t>
      </w:r>
      <w:r w:rsidRPr="00AE38CA">
        <w:rPr>
          <w:b/>
          <w:i/>
          <w:lang w:bidi="en-GB"/>
        </w:rPr>
        <w:t>moderate security</w:t>
      </w:r>
      <w:r w:rsidRPr="00AE38CA">
        <w:rPr>
          <w:lang w:bidi="en-GB"/>
        </w:rPr>
        <w:t xml:space="preserve"> of ensuring that the four target groups (TGs) as specified for the FSCG have access to health</w:t>
      </w:r>
      <w:r w:rsidR="00CA0410" w:rsidRPr="00AE38CA">
        <w:rPr>
          <w:lang w:bidi="en-GB"/>
        </w:rPr>
        <w:t xml:space="preserve"> </w:t>
      </w:r>
      <w:r w:rsidRPr="00AE38CA">
        <w:rPr>
          <w:lang w:bidi="en-GB"/>
        </w:rPr>
        <w:t>care. Overall, the Dutch health</w:t>
      </w:r>
      <w:r w:rsidR="00CA0410" w:rsidRPr="00AE38CA">
        <w:rPr>
          <w:lang w:bidi="en-GB"/>
        </w:rPr>
        <w:t xml:space="preserve"> </w:t>
      </w:r>
      <w:r w:rsidRPr="00AE38CA">
        <w:rPr>
          <w:lang w:bidi="en-GB"/>
        </w:rPr>
        <w:t>care system provides free access to health</w:t>
      </w:r>
      <w:r w:rsidR="00CA0410" w:rsidRPr="00AE38CA">
        <w:rPr>
          <w:lang w:bidi="en-GB"/>
        </w:rPr>
        <w:t xml:space="preserve"> </w:t>
      </w:r>
      <w:r w:rsidRPr="00AE38CA">
        <w:rPr>
          <w:lang w:bidi="en-GB"/>
        </w:rPr>
        <w:t>care services to children by subsidising the basic health insurance coverage. However, children need to be included in their parents</w:t>
      </w:r>
      <w:r w:rsidR="00CA0410" w:rsidRPr="00AE38CA">
        <w:rPr>
          <w:lang w:bidi="en-GB"/>
        </w:rPr>
        <w:t>’</w:t>
      </w:r>
      <w:r w:rsidRPr="00AE38CA">
        <w:rPr>
          <w:lang w:bidi="en-GB"/>
        </w:rPr>
        <w:t xml:space="preserve"> health</w:t>
      </w:r>
      <w:r w:rsidR="00CA0410" w:rsidRPr="00AE38CA">
        <w:rPr>
          <w:lang w:bidi="en-GB"/>
        </w:rPr>
        <w:t xml:space="preserve"> </w:t>
      </w:r>
      <w:r w:rsidRPr="00AE38CA">
        <w:rPr>
          <w:lang w:bidi="en-GB"/>
        </w:rPr>
        <w:t>care plan to access health</w:t>
      </w:r>
      <w:r w:rsidR="00CA0410" w:rsidRPr="00AE38CA">
        <w:rPr>
          <w:lang w:bidi="en-GB"/>
        </w:rPr>
        <w:t xml:space="preserve"> </w:t>
      </w:r>
      <w:r w:rsidRPr="00AE38CA">
        <w:rPr>
          <w:lang w:bidi="en-GB"/>
        </w:rPr>
        <w:t>care services, and the parents</w:t>
      </w:r>
      <w:r w:rsidR="00CA0410" w:rsidRPr="00AE38CA">
        <w:rPr>
          <w:lang w:bidi="en-GB"/>
        </w:rPr>
        <w:t>’</w:t>
      </w:r>
      <w:r w:rsidRPr="00AE38CA">
        <w:rPr>
          <w:lang w:bidi="en-GB"/>
        </w:rPr>
        <w:t xml:space="preserve"> insurance premium is not being subsidised by the Dutch government. </w:t>
      </w:r>
      <w:r w:rsidR="00896400" w:rsidRPr="00AE38CA">
        <w:rPr>
          <w:lang w:bidi="en-GB"/>
        </w:rPr>
        <w:t>Within this context, r</w:t>
      </w:r>
      <w:r w:rsidR="00896400" w:rsidRPr="00AE38CA">
        <w:t>ising health care costs are of concern and may affect low-</w:t>
      </w:r>
      <w:r w:rsidR="00896400" w:rsidRPr="00AE38CA">
        <w:lastRenderedPageBreak/>
        <w:t xml:space="preserve">income households disproportionately, because they pay a larger share of their income to the health care system. </w:t>
      </w:r>
      <w:r w:rsidRPr="00AE38CA">
        <w:rPr>
          <w:lang w:bidi="en-GB"/>
        </w:rPr>
        <w:t xml:space="preserve">Low income households can apply for subsidies that fall under the Participation Act that serves as a Dutch safety net to provide a minimum income to anyone legally residing in the Netherlands with insufficient means to cover the basic costs of living. </w:t>
      </w:r>
    </w:p>
    <w:p w14:paraId="4311726D" w14:textId="3E44386B" w:rsidR="009519EC" w:rsidRPr="00AE38CA" w:rsidRDefault="009519EC" w:rsidP="009519EC">
      <w:pPr>
        <w:pStyle w:val="Plattetekst"/>
        <w:rPr>
          <w:lang w:bidi="en-GB"/>
        </w:rPr>
      </w:pPr>
      <w:r w:rsidRPr="00AE38CA">
        <w:rPr>
          <w:lang w:bidi="en-GB"/>
        </w:rPr>
        <w:t>Recent evaluation outcomes of the renewed child health</w:t>
      </w:r>
      <w:r w:rsidR="00CA0410" w:rsidRPr="00AE38CA">
        <w:rPr>
          <w:lang w:bidi="en-GB"/>
        </w:rPr>
        <w:t xml:space="preserve"> </w:t>
      </w:r>
      <w:r w:rsidRPr="00AE38CA">
        <w:rPr>
          <w:lang w:bidi="en-GB"/>
        </w:rPr>
        <w:t>care system in the Netherlands also highlight that the child health</w:t>
      </w:r>
      <w:r w:rsidR="00CA0410" w:rsidRPr="00AE38CA">
        <w:rPr>
          <w:lang w:bidi="en-GB"/>
        </w:rPr>
        <w:t xml:space="preserve"> </w:t>
      </w:r>
      <w:r w:rsidRPr="00AE38CA">
        <w:rPr>
          <w:lang w:bidi="en-GB"/>
        </w:rPr>
        <w:t>care system is still in its infancy, and that local municipalities work with different implementation models. These differences lead to discrepancies at local level in how children and their families can access health</w:t>
      </w:r>
      <w:r w:rsidR="00C106BE" w:rsidRPr="00AE38CA">
        <w:rPr>
          <w:lang w:bidi="en-GB"/>
        </w:rPr>
        <w:t xml:space="preserve"> </w:t>
      </w:r>
      <w:r w:rsidRPr="00AE38CA">
        <w:rPr>
          <w:lang w:bidi="en-GB"/>
        </w:rPr>
        <w:t>care services. Importantly, these results imply differences in quality of child health</w:t>
      </w:r>
      <w:r w:rsidR="00C106BE" w:rsidRPr="00AE38CA">
        <w:rPr>
          <w:lang w:bidi="en-GB"/>
        </w:rPr>
        <w:t xml:space="preserve"> </w:t>
      </w:r>
      <w:r w:rsidRPr="00AE38CA">
        <w:rPr>
          <w:lang w:bidi="en-GB"/>
        </w:rPr>
        <w:t>care, depending on where the child reside</w:t>
      </w:r>
      <w:r w:rsidR="00C106BE" w:rsidRPr="00AE38CA">
        <w:rPr>
          <w:lang w:bidi="en-GB"/>
        </w:rPr>
        <w:t>s</w:t>
      </w:r>
      <w:r w:rsidRPr="00AE38CA">
        <w:rPr>
          <w:lang w:bidi="en-GB"/>
        </w:rPr>
        <w:t xml:space="preserve">. </w:t>
      </w:r>
      <w:r w:rsidR="00896400" w:rsidRPr="00AE38CA">
        <w:rPr>
          <w:lang w:bidi="en-GB"/>
        </w:rPr>
        <w:t>Noteworthy weaknesses in the current health</w:t>
      </w:r>
      <w:r w:rsidR="00C106BE" w:rsidRPr="00AE38CA">
        <w:rPr>
          <w:lang w:bidi="en-GB"/>
        </w:rPr>
        <w:t xml:space="preserve"> </w:t>
      </w:r>
      <w:r w:rsidR="00896400" w:rsidRPr="00AE38CA">
        <w:rPr>
          <w:lang w:bidi="en-GB"/>
        </w:rPr>
        <w:t xml:space="preserve">care system for children include </w:t>
      </w:r>
      <w:r w:rsidR="00896400" w:rsidRPr="00AE38CA">
        <w:t xml:space="preserve">longer waiting lists to access appropriate care, an increase in complex health issues and needs among families and children and a lack of specialised expertise within municipalities to address these complex health needs appropriately. </w:t>
      </w:r>
    </w:p>
    <w:p w14:paraId="0F5F8CB4" w14:textId="4C46DDE4" w:rsidR="009519EC" w:rsidRPr="00AE38CA" w:rsidRDefault="009519EC" w:rsidP="009519EC">
      <w:pPr>
        <w:pStyle w:val="Plattetekst"/>
        <w:rPr>
          <w:lang w:bidi="en-GB"/>
        </w:rPr>
      </w:pPr>
      <w:r w:rsidRPr="00AE38CA">
        <w:rPr>
          <w:lang w:bidi="en-GB"/>
        </w:rPr>
        <w:t>Moreover, vulnerable population groups in the Netherlands, including low SES</w:t>
      </w:r>
      <w:r w:rsidR="00C106BE" w:rsidRPr="00AE38CA">
        <w:rPr>
          <w:lang w:bidi="en-GB"/>
        </w:rPr>
        <w:t>-</w:t>
      </w:r>
      <w:r w:rsidRPr="00AE38CA">
        <w:rPr>
          <w:lang w:bidi="en-GB"/>
        </w:rPr>
        <w:t>households and non-western migrants show poorer health outcomes than their counterparts. The Dutch health</w:t>
      </w:r>
      <w:r w:rsidR="00917E0B" w:rsidRPr="00AE38CA">
        <w:rPr>
          <w:lang w:bidi="en-GB"/>
        </w:rPr>
        <w:t xml:space="preserve"> </w:t>
      </w:r>
      <w:r w:rsidRPr="00AE38CA">
        <w:rPr>
          <w:lang w:bidi="en-GB"/>
        </w:rPr>
        <w:t>care system partly addresses this gap by specific health</w:t>
      </w:r>
      <w:r w:rsidR="00C106BE" w:rsidRPr="00AE38CA">
        <w:rPr>
          <w:lang w:bidi="en-GB"/>
        </w:rPr>
        <w:t xml:space="preserve"> </w:t>
      </w:r>
      <w:r w:rsidRPr="00AE38CA">
        <w:rPr>
          <w:lang w:bidi="en-GB"/>
        </w:rPr>
        <w:t xml:space="preserve">care measures for children of recent migrants and refugees. However, no other specific national health programmes are in place for the remaining FSCG target groups. </w:t>
      </w:r>
    </w:p>
    <w:p w14:paraId="04F60742" w14:textId="20340351" w:rsidR="00164C22" w:rsidRPr="00AE38CA" w:rsidRDefault="00164C22" w:rsidP="009A645F">
      <w:pPr>
        <w:pStyle w:val="Kop2"/>
      </w:pPr>
      <w:r w:rsidRPr="00AE38CA">
        <w:t xml:space="preserve">Description and assessment of main policies in place and recommendations for improvements to ensure decent housing </w:t>
      </w:r>
    </w:p>
    <w:p w14:paraId="27B0A9B3" w14:textId="5470C224" w:rsidR="00F73700" w:rsidRPr="00AE38CA" w:rsidRDefault="00053F94" w:rsidP="00F73700">
      <w:pPr>
        <w:pStyle w:val="Plattetekst"/>
        <w:rPr>
          <w:lang w:bidi="en-GB"/>
        </w:rPr>
      </w:pPr>
      <w:r w:rsidRPr="00AE38CA">
        <w:rPr>
          <w:lang w:bidi="en-GB"/>
        </w:rPr>
        <w:t>C</w:t>
      </w:r>
      <w:r w:rsidR="00F73700" w:rsidRPr="00AE38CA">
        <w:rPr>
          <w:lang w:bidi="en-GB"/>
        </w:rPr>
        <w:t>ommitting to the Convention on the Rights to the Child</w:t>
      </w:r>
      <w:r w:rsidRPr="00AE38CA">
        <w:rPr>
          <w:lang w:bidi="en-GB"/>
        </w:rPr>
        <w:t xml:space="preserve"> entails that</w:t>
      </w:r>
      <w:r w:rsidR="00F73700" w:rsidRPr="00AE38CA">
        <w:rPr>
          <w:lang w:bidi="en-GB"/>
        </w:rPr>
        <w:t xml:space="preserve"> the Dutch government has to ensure that all children in the Netherlands have access to housing (see Chapter 3.1). Housing policies in the Netherlands are focused on the accessibility and affordability of housing for adults, </w:t>
      </w:r>
      <w:r w:rsidR="002F12C8" w:rsidRPr="00AE38CA">
        <w:rPr>
          <w:lang w:bidi="en-GB"/>
        </w:rPr>
        <w:t xml:space="preserve">thereby </w:t>
      </w:r>
      <w:r w:rsidR="00F73700" w:rsidRPr="00AE38CA">
        <w:rPr>
          <w:lang w:bidi="en-GB"/>
        </w:rPr>
        <w:t xml:space="preserve">indirectly affecting children. </w:t>
      </w:r>
    </w:p>
    <w:p w14:paraId="05BF4FAF" w14:textId="274683C4" w:rsidR="00F73700" w:rsidRPr="00AE38CA" w:rsidRDefault="00F73700" w:rsidP="00F73700">
      <w:pPr>
        <w:pStyle w:val="Plattetekst"/>
        <w:rPr>
          <w:lang w:bidi="en-GB"/>
        </w:rPr>
      </w:pPr>
      <w:r w:rsidRPr="00AE38CA">
        <w:rPr>
          <w:lang w:bidi="en-GB"/>
        </w:rPr>
        <w:t>The Housing Act</w:t>
      </w:r>
      <w:r w:rsidR="00E10B09" w:rsidRPr="00AE38CA">
        <w:rPr>
          <w:lang w:bidi="en-GB"/>
        </w:rPr>
        <w:t xml:space="preserve"> (</w:t>
      </w:r>
      <w:r w:rsidR="00E10B09" w:rsidRPr="00AE38CA">
        <w:rPr>
          <w:i/>
          <w:lang w:bidi="en-GB"/>
        </w:rPr>
        <w:t>Woningwet</w:t>
      </w:r>
      <w:r w:rsidR="00E10B09" w:rsidRPr="00AE38CA">
        <w:rPr>
          <w:lang w:bidi="en-GB"/>
        </w:rPr>
        <w:t>)</w:t>
      </w:r>
      <w:r w:rsidRPr="00AE38CA">
        <w:rPr>
          <w:lang w:bidi="en-GB"/>
        </w:rPr>
        <w:t xml:space="preserve"> recogni</w:t>
      </w:r>
      <w:r w:rsidR="002046C0" w:rsidRPr="00AE38CA">
        <w:rPr>
          <w:lang w:bidi="en-GB"/>
        </w:rPr>
        <w:t>s</w:t>
      </w:r>
      <w:r w:rsidRPr="00AE38CA">
        <w:rPr>
          <w:lang w:bidi="en-GB"/>
        </w:rPr>
        <w:t xml:space="preserve">es that affordable housing in the Netherlands is a shared national responsibility. This includes the availability of affordable rental accommodation and owner-occupied homes for those on relatively low incomes. </w:t>
      </w:r>
    </w:p>
    <w:p w14:paraId="176099AF" w14:textId="78126088" w:rsidR="00F73700" w:rsidRPr="00AE38CA" w:rsidRDefault="00175FFD" w:rsidP="00A56738">
      <w:pPr>
        <w:pStyle w:val="Plattetekst"/>
        <w:rPr>
          <w:lang w:bidi="en-GB"/>
        </w:rPr>
      </w:pPr>
      <w:r w:rsidRPr="00AE38CA">
        <w:rPr>
          <w:lang w:bidi="en-GB"/>
        </w:rPr>
        <w:t xml:space="preserve">According to the ESPN country profile 2017-2018, the Dutch rental housing stock currently consists of approximately 3,273,000 homes. </w:t>
      </w:r>
      <w:r w:rsidR="00F73700" w:rsidRPr="00AE38CA">
        <w:rPr>
          <w:lang w:bidi="en-GB"/>
        </w:rPr>
        <w:t>The construction of new houses is on the rise. For 2019-2022, a production of around an average of 70,000 homes per year is expected.</w:t>
      </w:r>
      <w:r w:rsidR="00CD2FF7" w:rsidRPr="00AE38CA">
        <w:rPr>
          <w:lang w:bidi="en-GB"/>
        </w:rPr>
        <w:t xml:space="preserve"> </w:t>
      </w:r>
      <w:r w:rsidR="00F92844" w:rsidRPr="00AE38CA">
        <w:rPr>
          <w:lang w:bidi="en-GB"/>
        </w:rPr>
        <w:t>Soar</w:t>
      </w:r>
      <w:r w:rsidR="00E10B09" w:rsidRPr="00AE38CA">
        <w:rPr>
          <w:lang w:bidi="en-GB"/>
        </w:rPr>
        <w:t>ing prices in the building sector are</w:t>
      </w:r>
      <w:r w:rsidR="00030BD8" w:rsidRPr="00AE38CA">
        <w:rPr>
          <w:lang w:bidi="en-GB"/>
        </w:rPr>
        <w:t>,</w:t>
      </w:r>
      <w:r w:rsidR="00380E6C" w:rsidRPr="00AE38CA">
        <w:rPr>
          <w:lang w:bidi="en-GB"/>
        </w:rPr>
        <w:t xml:space="preserve"> however</w:t>
      </w:r>
      <w:r w:rsidR="00030BD8" w:rsidRPr="00AE38CA">
        <w:rPr>
          <w:lang w:bidi="en-GB"/>
        </w:rPr>
        <w:t>,</w:t>
      </w:r>
      <w:r w:rsidR="00380E6C" w:rsidRPr="00AE38CA">
        <w:rPr>
          <w:lang w:bidi="en-GB"/>
        </w:rPr>
        <w:t xml:space="preserve"> </w:t>
      </w:r>
      <w:r w:rsidR="00F92844" w:rsidRPr="00AE38CA">
        <w:rPr>
          <w:lang w:bidi="en-GB"/>
        </w:rPr>
        <w:t>increasingly th</w:t>
      </w:r>
      <w:r w:rsidR="00380E6C" w:rsidRPr="00AE38CA">
        <w:rPr>
          <w:lang w:bidi="en-GB"/>
        </w:rPr>
        <w:t xml:space="preserve">reatening the </w:t>
      </w:r>
      <w:r w:rsidR="00F92844" w:rsidRPr="00AE38CA">
        <w:rPr>
          <w:lang w:bidi="en-GB"/>
        </w:rPr>
        <w:t>financial feasibility of these ambitions.</w:t>
      </w:r>
    </w:p>
    <w:p w14:paraId="142DA761" w14:textId="1CEA8CBA" w:rsidR="00F73700" w:rsidRPr="00AE38CA" w:rsidRDefault="00F73700" w:rsidP="00541518">
      <w:pPr>
        <w:spacing w:before="240"/>
        <w:rPr>
          <w:rFonts w:ascii="Verdana" w:hAnsi="Verdana"/>
          <w:sz w:val="20"/>
        </w:rPr>
      </w:pPr>
      <w:r w:rsidRPr="00AE38CA">
        <w:rPr>
          <w:rFonts w:ascii="Verdana" w:hAnsi="Verdana"/>
          <w:sz w:val="20"/>
        </w:rPr>
        <w:t xml:space="preserve">The main stakeholders in the field of housing are the central government, the municipalities, major housing corporations, the Dutch federation of housing corporations AEDES and the </w:t>
      </w:r>
      <w:r w:rsidR="00541518" w:rsidRPr="00AE38CA">
        <w:rPr>
          <w:rFonts w:ascii="Verdana" w:hAnsi="Verdana"/>
          <w:sz w:val="20"/>
        </w:rPr>
        <w:t>Housing Union (</w:t>
      </w:r>
      <w:r w:rsidRPr="00AE38CA">
        <w:rPr>
          <w:rFonts w:ascii="Verdana" w:hAnsi="Verdana"/>
          <w:i/>
          <w:sz w:val="20"/>
        </w:rPr>
        <w:t>Woonbond</w:t>
      </w:r>
      <w:r w:rsidR="00541518" w:rsidRPr="00AE38CA">
        <w:rPr>
          <w:rFonts w:ascii="Verdana" w:hAnsi="Verdana"/>
          <w:i/>
          <w:sz w:val="20"/>
        </w:rPr>
        <w:t>)</w:t>
      </w:r>
      <w:r w:rsidRPr="00AE38CA">
        <w:rPr>
          <w:rFonts w:ascii="Verdana" w:hAnsi="Verdana"/>
          <w:sz w:val="20"/>
        </w:rPr>
        <w:t>, which defends the interests of tenants and tenant organisations.</w:t>
      </w:r>
    </w:p>
    <w:p w14:paraId="367AE29F" w14:textId="77777777" w:rsidR="00F73700" w:rsidRPr="00AE38CA" w:rsidRDefault="00F73700" w:rsidP="00AD00A7">
      <w:pPr>
        <w:pStyle w:val="Plattetekst"/>
        <w:rPr>
          <w:b/>
          <w:lang w:bidi="en-GB"/>
        </w:rPr>
      </w:pPr>
      <w:r w:rsidRPr="00AE38CA">
        <w:rPr>
          <w:b/>
          <w:lang w:bidi="en-GB"/>
        </w:rPr>
        <w:t>Home ownership</w:t>
      </w:r>
    </w:p>
    <w:p w14:paraId="2354B1F3" w14:textId="4878F243" w:rsidR="00F73700" w:rsidRPr="00AE38CA" w:rsidRDefault="00F73700" w:rsidP="00A56738">
      <w:pPr>
        <w:pStyle w:val="Plattetekst"/>
        <w:rPr>
          <w:rFonts w:eastAsia="Verdana"/>
        </w:rPr>
      </w:pPr>
      <w:r w:rsidRPr="00AE38CA">
        <w:rPr>
          <w:rFonts w:eastAsia="Verdana"/>
        </w:rPr>
        <w:t xml:space="preserve">Sales prices rise and sales on the housing market in the Netherlands are increasing. Home prices rose </w:t>
      </w:r>
      <w:r w:rsidR="00153E6B" w:rsidRPr="00AE38CA">
        <w:rPr>
          <w:rFonts w:eastAsia="Verdana"/>
        </w:rPr>
        <w:t xml:space="preserve">by </w:t>
      </w:r>
      <w:r w:rsidRPr="00AE38CA">
        <w:rPr>
          <w:rFonts w:eastAsia="Verdana"/>
        </w:rPr>
        <w:t>21% between 2013 and 2017</w:t>
      </w:r>
      <w:r w:rsidR="00DA2B20" w:rsidRPr="00AE38CA">
        <w:rPr>
          <w:rFonts w:eastAsia="Verdana"/>
        </w:rPr>
        <w:t xml:space="preserve"> (Ministry of Home Affairs, 2</w:t>
      </w:r>
      <w:r w:rsidR="007908D9" w:rsidRPr="00AE38CA">
        <w:rPr>
          <w:rFonts w:eastAsia="Verdana"/>
        </w:rPr>
        <w:t>016)</w:t>
      </w:r>
      <w:r w:rsidRPr="00AE38CA">
        <w:rPr>
          <w:rFonts w:eastAsia="Verdana"/>
        </w:rPr>
        <w:t xml:space="preserve">. </w:t>
      </w:r>
      <w:r w:rsidR="008045CE" w:rsidRPr="00AE38CA">
        <w:rPr>
          <w:rFonts w:eastAsia="Verdana"/>
        </w:rPr>
        <w:t>Major cities such as Amsterdam, The Hague, Utrecht and Rotterdam, as well as medium-sized cities like Groningen and Eindhoven, are witnessing stronger house price rises than the rest of the</w:t>
      </w:r>
      <w:r w:rsidR="005629CD" w:rsidRPr="00AE38CA">
        <w:rPr>
          <w:rFonts w:eastAsia="Verdana"/>
        </w:rPr>
        <w:t xml:space="preserve"> </w:t>
      </w:r>
      <w:r w:rsidR="008045CE" w:rsidRPr="00AE38CA">
        <w:rPr>
          <w:rFonts w:eastAsia="Verdana"/>
        </w:rPr>
        <w:t>Netherlands</w:t>
      </w:r>
      <w:r w:rsidR="00F820AE" w:rsidRPr="00AE38CA">
        <w:rPr>
          <w:rFonts w:eastAsia="Verdana"/>
        </w:rPr>
        <w:t xml:space="preserve"> (Hekwolter of Hekhuis</w:t>
      </w:r>
      <w:r w:rsidR="00F820AE" w:rsidRPr="00AE38CA">
        <w:rPr>
          <w:rStyle w:val="Voetnootmarkering"/>
          <w:rFonts w:eastAsia="Verdana"/>
          <w:vertAlign w:val="baseline"/>
        </w:rPr>
        <w:t xml:space="preserve"> </w:t>
      </w:r>
      <w:r w:rsidR="00F820AE" w:rsidRPr="00AE38CA">
        <w:rPr>
          <w:rFonts w:eastAsia="Verdana"/>
        </w:rPr>
        <w:t xml:space="preserve">et al., </w:t>
      </w:r>
      <w:r w:rsidR="00D60DEA" w:rsidRPr="00AE38CA">
        <w:rPr>
          <w:rFonts w:eastAsia="Verdana"/>
        </w:rPr>
        <w:t>2017)</w:t>
      </w:r>
      <w:r w:rsidR="008045CE" w:rsidRPr="00AE38CA">
        <w:rPr>
          <w:rFonts w:eastAsia="Verdana"/>
        </w:rPr>
        <w:t xml:space="preserve">. </w:t>
      </w:r>
      <w:r w:rsidRPr="00AE38CA">
        <w:t>As a result, sales are decreasing, in particular in the lower price ranges</w:t>
      </w:r>
      <w:r w:rsidR="007C2579" w:rsidRPr="00AE38CA">
        <w:t xml:space="preserve"> (NVWM, </w:t>
      </w:r>
      <w:r w:rsidR="00B8430B" w:rsidRPr="00AE38CA">
        <w:t>n.d.)</w:t>
      </w:r>
      <w:r w:rsidR="00557D44" w:rsidRPr="00AE38CA">
        <w:t>.</w:t>
      </w:r>
    </w:p>
    <w:p w14:paraId="1B2A6C64" w14:textId="0693DEBC" w:rsidR="00F73700" w:rsidRPr="00AE38CA" w:rsidRDefault="00F73700" w:rsidP="000C6280">
      <w:pPr>
        <w:pStyle w:val="Plattetekst"/>
      </w:pPr>
      <w:r w:rsidRPr="00AE38CA">
        <w:t xml:space="preserve">Given the increase in the number of households in the years to 2020, rising tension on the housing market is expected. A large part of the </w:t>
      </w:r>
      <w:r w:rsidR="00175FFD" w:rsidRPr="00AE38CA">
        <w:t xml:space="preserve">Dutch </w:t>
      </w:r>
      <w:r w:rsidRPr="00AE38CA">
        <w:t xml:space="preserve">housing market is financed </w:t>
      </w:r>
      <w:r w:rsidR="00165E43" w:rsidRPr="00AE38CA">
        <w:t xml:space="preserve">by </w:t>
      </w:r>
      <w:r w:rsidRPr="00AE38CA">
        <w:t>loans</w:t>
      </w:r>
      <w:r w:rsidR="00175FFD" w:rsidRPr="00AE38CA">
        <w:t xml:space="preserve">: </w:t>
      </w:r>
      <w:r w:rsidRPr="00AE38CA">
        <w:t>most households take out a mortgage</w:t>
      </w:r>
      <w:r w:rsidR="00175FFD" w:rsidRPr="00AE38CA">
        <w:t xml:space="preserve"> to buy a property</w:t>
      </w:r>
      <w:r w:rsidRPr="00AE38CA">
        <w:t>. The revival of the housing market is therefore accompanied by an increase in mortgage production</w:t>
      </w:r>
      <w:r w:rsidR="00785391" w:rsidRPr="00AE38CA">
        <w:t xml:space="preserve"> (DNB, 2017).</w:t>
      </w:r>
    </w:p>
    <w:p w14:paraId="49872ECA" w14:textId="4E6AFCE6" w:rsidR="00F73700" w:rsidRPr="00AE38CA" w:rsidRDefault="00F73700" w:rsidP="00F73700">
      <w:pPr>
        <w:pStyle w:val="Plattetekst"/>
        <w:rPr>
          <w:b/>
          <w:lang w:bidi="en-GB"/>
        </w:rPr>
      </w:pPr>
      <w:r w:rsidRPr="00AE38CA">
        <w:rPr>
          <w:b/>
          <w:lang w:bidi="en-GB"/>
        </w:rPr>
        <w:t>The rental sphere</w:t>
      </w:r>
    </w:p>
    <w:p w14:paraId="40BB6409" w14:textId="268019E2" w:rsidR="00C519B9" w:rsidRPr="00AE38CA" w:rsidRDefault="00F73700" w:rsidP="00F73700">
      <w:pPr>
        <w:pStyle w:val="Plattetekst"/>
        <w:rPr>
          <w:lang w:bidi="en-GB"/>
        </w:rPr>
      </w:pPr>
      <w:r w:rsidRPr="00AE38CA">
        <w:rPr>
          <w:lang w:bidi="en-GB"/>
        </w:rPr>
        <w:t>Social housing associations are the main suppliers of regulated rental homes</w:t>
      </w:r>
      <w:r w:rsidR="00CF43D0" w:rsidRPr="00AE38CA">
        <w:rPr>
          <w:lang w:bidi="en-GB"/>
        </w:rPr>
        <w:t xml:space="preserve">: </w:t>
      </w:r>
      <w:r w:rsidRPr="00AE38CA">
        <w:rPr>
          <w:lang w:bidi="en-GB"/>
        </w:rPr>
        <w:t>they supply over 90% of all regulated rental homes</w:t>
      </w:r>
      <w:r w:rsidR="00423317" w:rsidRPr="00AE38CA">
        <w:rPr>
          <w:lang w:bidi="en-GB"/>
        </w:rPr>
        <w:t xml:space="preserve"> (</w:t>
      </w:r>
      <w:r w:rsidR="00785391" w:rsidRPr="00AE38CA">
        <w:rPr>
          <w:rFonts w:eastAsia="Verdana"/>
        </w:rPr>
        <w:t>Ministry of Home Affairs, 2016</w:t>
      </w:r>
      <w:r w:rsidR="0015412F" w:rsidRPr="00AE38CA">
        <w:rPr>
          <w:lang w:bidi="en-GB"/>
        </w:rPr>
        <w:t>)</w:t>
      </w:r>
      <w:r w:rsidRPr="00AE38CA">
        <w:rPr>
          <w:lang w:bidi="en-GB"/>
        </w:rPr>
        <w:t>.</w:t>
      </w:r>
      <w:r w:rsidR="00C519B9" w:rsidRPr="00AE38CA">
        <w:rPr>
          <w:lang w:bidi="en-GB"/>
        </w:rPr>
        <w:t xml:space="preserve"> </w:t>
      </w:r>
      <w:r w:rsidRPr="00AE38CA">
        <w:rPr>
          <w:lang w:bidi="en-GB"/>
        </w:rPr>
        <w:t xml:space="preserve">While maintaining </w:t>
      </w:r>
      <w:r w:rsidRPr="00AE38CA">
        <w:rPr>
          <w:lang w:bidi="en-GB"/>
        </w:rPr>
        <w:lastRenderedPageBreak/>
        <w:t xml:space="preserve">their social commitment, social housing organisations in the Netherlands are financially independent from the central government. </w:t>
      </w:r>
    </w:p>
    <w:p w14:paraId="184F0A84" w14:textId="64360171" w:rsidR="00F73700" w:rsidRPr="00AE38CA" w:rsidRDefault="00F73700" w:rsidP="00F73700">
      <w:pPr>
        <w:pStyle w:val="Plattetekst"/>
        <w:rPr>
          <w:lang w:bidi="en-GB"/>
        </w:rPr>
      </w:pPr>
      <w:r w:rsidRPr="00AE38CA">
        <w:rPr>
          <w:lang w:bidi="en-GB"/>
        </w:rPr>
        <w:t>In 2019, social housing is limited to homes for which the initial monthly rent is under the rent limit for liberalised tenancy agreements (</w:t>
      </w:r>
      <w:r w:rsidRPr="00AE38CA">
        <w:rPr>
          <w:i/>
          <w:lang w:bidi="en-GB"/>
        </w:rPr>
        <w:t>aftoppingsgrens</w:t>
      </w:r>
      <w:r w:rsidRPr="00AE38CA">
        <w:rPr>
          <w:lang w:bidi="en-GB"/>
        </w:rPr>
        <w:t>); the current limit is €720</w:t>
      </w:r>
      <w:r w:rsidR="00D5775A" w:rsidRPr="00AE38CA">
        <w:rPr>
          <w:lang w:bidi="en-GB"/>
        </w:rPr>
        <w:t>.</w:t>
      </w:r>
      <w:r w:rsidRPr="00AE38CA">
        <w:rPr>
          <w:lang w:bidi="en-GB"/>
        </w:rPr>
        <w:t xml:space="preserve">42. Social housing is destined for vulnerable households and people who are elderly, disabled or have a yearly income under €38,035. </w:t>
      </w:r>
    </w:p>
    <w:p w14:paraId="2B73010B" w14:textId="4A9A1149" w:rsidR="00C94832" w:rsidRPr="00AE38CA" w:rsidRDefault="00F73700" w:rsidP="00F73700">
      <w:pPr>
        <w:pStyle w:val="Plattetekst"/>
        <w:rPr>
          <w:vertAlign w:val="superscript"/>
          <w:lang w:bidi="en-GB"/>
        </w:rPr>
      </w:pPr>
      <w:r w:rsidRPr="00AE38CA">
        <w:rPr>
          <w:lang w:bidi="en-GB"/>
        </w:rPr>
        <w:t>Tenants on low incomes are entitled to housing benefit (</w:t>
      </w:r>
      <w:r w:rsidRPr="00AE38CA">
        <w:rPr>
          <w:i/>
          <w:lang w:bidi="en-GB"/>
        </w:rPr>
        <w:t>huursubsidie</w:t>
      </w:r>
      <w:r w:rsidRPr="00AE38CA">
        <w:rPr>
          <w:lang w:bidi="en-GB"/>
        </w:rPr>
        <w:t>) if their rent is relatively high</w:t>
      </w:r>
      <w:r w:rsidR="00C41154" w:rsidRPr="00AE38CA">
        <w:rPr>
          <w:lang w:bidi="en-GB"/>
        </w:rPr>
        <w:t xml:space="preserve"> </w:t>
      </w:r>
      <w:r w:rsidR="00C41154" w:rsidRPr="00AE38CA">
        <w:rPr>
          <w:rFonts w:eastAsia="Verdana"/>
        </w:rPr>
        <w:t>(</w:t>
      </w:r>
      <w:r w:rsidR="00785391" w:rsidRPr="00AE38CA">
        <w:rPr>
          <w:rFonts w:eastAsia="Verdana"/>
        </w:rPr>
        <w:t>ibid.</w:t>
      </w:r>
      <w:r w:rsidR="00C41154" w:rsidRPr="00AE38CA">
        <w:rPr>
          <w:rFonts w:eastAsia="Verdana"/>
        </w:rPr>
        <w:t>).</w:t>
      </w:r>
      <w:r w:rsidRPr="00AE38CA">
        <w:rPr>
          <w:lang w:bidi="en-GB"/>
        </w:rPr>
        <w:t xml:space="preserve"> There are two types of tenancy agreements; a fixed-period or an indefinite period agreement. Indefinite rental contracts can only be terminated by the landlord if there are legal grounds for termination (</w:t>
      </w:r>
      <w:r w:rsidR="00F77FA6" w:rsidRPr="00AE38CA">
        <w:rPr>
          <w:lang w:bidi="en-GB"/>
        </w:rPr>
        <w:t xml:space="preserve">rent protection, </w:t>
      </w:r>
      <w:r w:rsidRPr="00AE38CA">
        <w:rPr>
          <w:i/>
          <w:lang w:bidi="en-GB"/>
        </w:rPr>
        <w:t>huurbescherming</w:t>
      </w:r>
      <w:r w:rsidRPr="00AE38CA">
        <w:rPr>
          <w:lang w:bidi="en-GB"/>
        </w:rPr>
        <w:t xml:space="preserve">). The </w:t>
      </w:r>
      <w:r w:rsidR="006F4505" w:rsidRPr="00AE38CA">
        <w:rPr>
          <w:lang w:bidi="en-GB"/>
        </w:rPr>
        <w:t>r</w:t>
      </w:r>
      <w:r w:rsidRPr="00AE38CA">
        <w:rPr>
          <w:lang w:bidi="en-GB"/>
        </w:rPr>
        <w:t xml:space="preserve">ent </w:t>
      </w:r>
      <w:r w:rsidR="006F4505" w:rsidRPr="00AE38CA">
        <w:rPr>
          <w:lang w:bidi="en-GB"/>
        </w:rPr>
        <w:t>t</w:t>
      </w:r>
      <w:r w:rsidRPr="00AE38CA">
        <w:rPr>
          <w:lang w:bidi="en-GB"/>
        </w:rPr>
        <w:t>ribunal (</w:t>
      </w:r>
      <w:r w:rsidRPr="00AE38CA">
        <w:rPr>
          <w:i/>
          <w:lang w:bidi="en-GB"/>
        </w:rPr>
        <w:t>huurcommissie</w:t>
      </w:r>
      <w:r w:rsidRPr="00AE38CA">
        <w:rPr>
          <w:lang w:bidi="en-GB"/>
        </w:rPr>
        <w:t xml:space="preserve">) handles disputes about rent levels, maintenance or service charges for social housing. Free sector tenants can make use of the </w:t>
      </w:r>
      <w:r w:rsidR="00EC370E" w:rsidRPr="00AE38CA">
        <w:rPr>
          <w:lang w:bidi="en-GB"/>
        </w:rPr>
        <w:t>r</w:t>
      </w:r>
      <w:r w:rsidRPr="00AE38CA">
        <w:rPr>
          <w:lang w:bidi="en-GB"/>
        </w:rPr>
        <w:t xml:space="preserve">ent </w:t>
      </w:r>
      <w:r w:rsidR="00EC370E" w:rsidRPr="00AE38CA">
        <w:rPr>
          <w:lang w:bidi="en-GB"/>
        </w:rPr>
        <w:t>t</w:t>
      </w:r>
      <w:r w:rsidRPr="00AE38CA">
        <w:rPr>
          <w:lang w:bidi="en-GB"/>
        </w:rPr>
        <w:t>ribunal’s rent assessment service</w:t>
      </w:r>
      <w:r w:rsidR="00C41154" w:rsidRPr="00AE38CA">
        <w:rPr>
          <w:lang w:bidi="en-GB"/>
        </w:rPr>
        <w:t xml:space="preserve"> (ibid.)</w:t>
      </w:r>
      <w:r w:rsidR="00EC370E" w:rsidRPr="00AE38CA">
        <w:rPr>
          <w:lang w:bidi="en-GB"/>
        </w:rPr>
        <w:t>.</w:t>
      </w:r>
    </w:p>
    <w:p w14:paraId="247BD6C6" w14:textId="0862BCE0" w:rsidR="007528FF" w:rsidRPr="00AE38CA" w:rsidRDefault="007528FF" w:rsidP="00F73700">
      <w:pPr>
        <w:pStyle w:val="Plattetekst"/>
        <w:rPr>
          <w:b/>
          <w:lang w:bidi="en-GB"/>
        </w:rPr>
      </w:pPr>
      <w:r w:rsidRPr="00AE38CA">
        <w:rPr>
          <w:b/>
          <w:lang w:bidi="en-GB"/>
        </w:rPr>
        <w:t>Quality of housing</w:t>
      </w:r>
    </w:p>
    <w:p w14:paraId="4705B1DF" w14:textId="75EB42F4" w:rsidR="007528FF" w:rsidRPr="00AE38CA" w:rsidRDefault="007528FF" w:rsidP="007528FF">
      <w:pPr>
        <w:pStyle w:val="Plattetekst"/>
        <w:rPr>
          <w:lang w:bidi="en-GB"/>
        </w:rPr>
      </w:pPr>
      <w:r w:rsidRPr="00AE38CA">
        <w:rPr>
          <w:lang w:bidi="en-GB"/>
        </w:rPr>
        <w:t>Art. 23 of the Dutch Constitution establishes that it shall be the concern of the authorities to provide sufficient living accommodation, not only in terms of quantity (enough housing) but also in terms of quality (decent housing). The Housing Act (1902) stipulates that dwellings may not pose danger to its inhabitants in any way. The Dutch government developed a building code (</w:t>
      </w:r>
      <w:r w:rsidRPr="00AE38CA">
        <w:rPr>
          <w:i/>
          <w:lang w:bidi="en-GB"/>
        </w:rPr>
        <w:t>bouwbesluit</w:t>
      </w:r>
      <w:r w:rsidRPr="00AE38CA">
        <w:rPr>
          <w:lang w:bidi="en-GB"/>
        </w:rPr>
        <w:t xml:space="preserve">), in which minimum requirements to buildings </w:t>
      </w:r>
      <w:r w:rsidR="00BB6E88" w:rsidRPr="00AE38CA">
        <w:rPr>
          <w:lang w:bidi="en-GB"/>
        </w:rPr>
        <w:t xml:space="preserve">are specified </w:t>
      </w:r>
      <w:r w:rsidRPr="00AE38CA">
        <w:rPr>
          <w:lang w:bidi="en-GB"/>
        </w:rPr>
        <w:t xml:space="preserve">in terms of safety, health, size, usability, sustainability and energy use. </w:t>
      </w:r>
      <w:r w:rsidR="00F77FA6" w:rsidRPr="00AE38CA">
        <w:rPr>
          <w:lang w:bidi="en-GB"/>
        </w:rPr>
        <w:t>Local authorities</w:t>
      </w:r>
      <w:r w:rsidRPr="00AE38CA">
        <w:rPr>
          <w:lang w:bidi="en-GB"/>
        </w:rPr>
        <w:t xml:space="preserve"> inspect new and existing buildings to ensure that these requirements are met.</w:t>
      </w:r>
    </w:p>
    <w:p w14:paraId="0A6D2385" w14:textId="4EF497D2" w:rsidR="00C94832" w:rsidRPr="00AE38CA" w:rsidRDefault="00C92E6F" w:rsidP="00F73700">
      <w:pPr>
        <w:pStyle w:val="Plattetekst"/>
        <w:rPr>
          <w:b/>
          <w:lang w:bidi="en-GB"/>
        </w:rPr>
      </w:pPr>
      <w:r w:rsidRPr="00AE38CA">
        <w:rPr>
          <w:b/>
          <w:lang w:bidi="en-GB"/>
        </w:rPr>
        <w:t>Affordability and access</w:t>
      </w:r>
    </w:p>
    <w:p w14:paraId="2DA5A1C2" w14:textId="08312664" w:rsidR="00F73700" w:rsidRPr="00AE38CA" w:rsidRDefault="00F73700" w:rsidP="00F73700">
      <w:pPr>
        <w:pStyle w:val="Plattetekst"/>
        <w:rPr>
          <w:lang w:bidi="en-GB"/>
        </w:rPr>
      </w:pPr>
      <w:r w:rsidRPr="00AE38CA">
        <w:rPr>
          <w:lang w:bidi="en-GB"/>
        </w:rPr>
        <w:t xml:space="preserve">Between 2010 and 2016 inequality with regard to housing costs in the Netherlands </w:t>
      </w:r>
      <w:r w:rsidR="00BB6E88" w:rsidRPr="00AE38CA">
        <w:rPr>
          <w:lang w:bidi="en-GB"/>
        </w:rPr>
        <w:t xml:space="preserve">grew </w:t>
      </w:r>
      <w:r w:rsidRPr="00AE38CA">
        <w:rPr>
          <w:lang w:bidi="en-GB"/>
        </w:rPr>
        <w:t xml:space="preserve">to a significant degree. This inequality </w:t>
      </w:r>
      <w:r w:rsidR="00CC0789" w:rsidRPr="00AE38CA">
        <w:rPr>
          <w:lang w:bidi="en-GB"/>
        </w:rPr>
        <w:t xml:space="preserve">can be </w:t>
      </w:r>
      <w:r w:rsidRPr="00AE38CA">
        <w:rPr>
          <w:lang w:bidi="en-GB"/>
        </w:rPr>
        <w:t>explained by an increase in the proportion of poor households’ income spen</w:t>
      </w:r>
      <w:r w:rsidR="00340B84" w:rsidRPr="00AE38CA">
        <w:rPr>
          <w:lang w:bidi="en-GB"/>
        </w:rPr>
        <w:t>t</w:t>
      </w:r>
      <w:r w:rsidRPr="00AE38CA">
        <w:rPr>
          <w:lang w:bidi="en-GB"/>
        </w:rPr>
        <w:t xml:space="preserve"> on housing cost (</w:t>
      </w:r>
      <w:r w:rsidRPr="00AE38CA">
        <w:t>47.8% in 2017</w:t>
      </w:r>
      <w:r w:rsidR="00AD2035" w:rsidRPr="00AE38CA">
        <w:t>, according to FEANTSA</w:t>
      </w:r>
      <w:r w:rsidR="00E43A66" w:rsidRPr="00AE38CA">
        <w:t>, 2018</w:t>
      </w:r>
      <w:r w:rsidRPr="00AE38CA">
        <w:t>)</w:t>
      </w:r>
      <w:r w:rsidRPr="00AE38CA">
        <w:rPr>
          <w:lang w:bidi="en-GB"/>
        </w:rPr>
        <w:t xml:space="preserve">. Several national and municipal policies had a negative effect on the availability of social housing. </w:t>
      </w:r>
    </w:p>
    <w:p w14:paraId="7771C6B7" w14:textId="641EC01C" w:rsidR="00A34C66" w:rsidRPr="00AE38CA" w:rsidRDefault="00F73700" w:rsidP="00F73700">
      <w:pPr>
        <w:pStyle w:val="Plattetekst"/>
        <w:rPr>
          <w:lang w:bidi="en-GB"/>
        </w:rPr>
      </w:pPr>
      <w:r w:rsidRPr="00AE38CA">
        <w:rPr>
          <w:lang w:bidi="en-GB"/>
        </w:rPr>
        <w:t>The Netherlands sees a structural decline in the number of social housing</w:t>
      </w:r>
      <w:r w:rsidR="0043219B" w:rsidRPr="00AE38CA">
        <w:rPr>
          <w:lang w:bidi="en-GB"/>
        </w:rPr>
        <w:t xml:space="preserve"> units</w:t>
      </w:r>
      <w:r w:rsidRPr="00AE38CA">
        <w:rPr>
          <w:lang w:bidi="en-GB"/>
        </w:rPr>
        <w:t xml:space="preserve">. </w:t>
      </w:r>
      <w:r w:rsidR="00D419DD" w:rsidRPr="00AE38CA">
        <w:rPr>
          <w:lang w:bidi="en-GB"/>
        </w:rPr>
        <w:t xml:space="preserve">Following the 2010 EC conclusion that social housing corporations receive state-aid and thus should restrict </w:t>
      </w:r>
      <w:r w:rsidR="0073161E" w:rsidRPr="00AE38CA">
        <w:rPr>
          <w:lang w:bidi="en-GB"/>
        </w:rPr>
        <w:t xml:space="preserve">their services </w:t>
      </w:r>
      <w:r w:rsidR="00D419DD" w:rsidRPr="00AE38CA">
        <w:rPr>
          <w:lang w:bidi="en-GB"/>
        </w:rPr>
        <w:t>to Services of General Economic Interest (SGEI), the national government limited the activities of the housing associations in the free market</w:t>
      </w:r>
      <w:r w:rsidR="005358DF" w:rsidRPr="00AE38CA">
        <w:rPr>
          <w:lang w:bidi="en-GB"/>
        </w:rPr>
        <w:t xml:space="preserve"> (Hoekstra, 2017)</w:t>
      </w:r>
      <w:r w:rsidR="00D419DD" w:rsidRPr="00AE38CA">
        <w:rPr>
          <w:lang w:bidi="en-GB"/>
        </w:rPr>
        <w:t xml:space="preserve">. Additionally, the government </w:t>
      </w:r>
      <w:r w:rsidR="00232F60" w:rsidRPr="00AE38CA">
        <w:rPr>
          <w:lang w:bidi="en-GB"/>
        </w:rPr>
        <w:t xml:space="preserve">has </w:t>
      </w:r>
      <w:r w:rsidR="00D419DD" w:rsidRPr="00AE38CA">
        <w:rPr>
          <w:lang w:bidi="en-GB"/>
        </w:rPr>
        <w:t>created more opportunities for housing associations to sell housing stock to private investors</w:t>
      </w:r>
      <w:r w:rsidR="00232F60" w:rsidRPr="00AE38CA">
        <w:rPr>
          <w:lang w:bidi="en-GB"/>
        </w:rPr>
        <w:t>.</w:t>
      </w:r>
      <w:r w:rsidR="00D419DD" w:rsidRPr="00AE38CA">
        <w:rPr>
          <w:rStyle w:val="Voetnootmarkering"/>
          <w:lang w:bidi="en-GB"/>
        </w:rPr>
        <w:footnoteReference w:id="12"/>
      </w:r>
      <w:r w:rsidR="00A34C66" w:rsidRPr="00AE38CA">
        <w:rPr>
          <w:lang w:bidi="en-GB"/>
        </w:rPr>
        <w:t xml:space="preserve"> </w:t>
      </w:r>
    </w:p>
    <w:p w14:paraId="6BD1CD4F" w14:textId="46433CDC" w:rsidR="00F73700" w:rsidRPr="00AE38CA" w:rsidRDefault="00A34C66" w:rsidP="00F73700">
      <w:pPr>
        <w:pStyle w:val="Plattetekst"/>
        <w:rPr>
          <w:lang w:bidi="en-GB"/>
        </w:rPr>
      </w:pPr>
      <w:r w:rsidRPr="00AE38CA">
        <w:rPr>
          <w:lang w:bidi="en-GB"/>
        </w:rPr>
        <w:t>R</w:t>
      </w:r>
      <w:r w:rsidR="00F73700" w:rsidRPr="00AE38CA">
        <w:rPr>
          <w:lang w:bidi="en-GB"/>
        </w:rPr>
        <w:t>esearch by</w:t>
      </w:r>
      <w:r w:rsidR="006E436A" w:rsidRPr="00AE38CA">
        <w:rPr>
          <w:lang w:bidi="en-GB"/>
        </w:rPr>
        <w:t xml:space="preserve"> the</w:t>
      </w:r>
      <w:r w:rsidR="00F73700" w:rsidRPr="00AE38CA">
        <w:rPr>
          <w:lang w:bidi="en-GB"/>
        </w:rPr>
        <w:t xml:space="preserve"> ING</w:t>
      </w:r>
      <w:r w:rsidR="006E436A" w:rsidRPr="00AE38CA">
        <w:rPr>
          <w:lang w:bidi="en-GB"/>
        </w:rPr>
        <w:t xml:space="preserve"> bank (2017)</w:t>
      </w:r>
      <w:r w:rsidR="00F73700" w:rsidRPr="00AE38CA">
        <w:rPr>
          <w:lang w:bidi="en-GB"/>
        </w:rPr>
        <w:t xml:space="preserve"> points out that dwellers who are in social housing do not have a financial incentive to move out. Consequently, people who apply for social housing for the first time end up on a waiting list. It can take years before they are allocated a rent-controlled property. Over the course of the past years, waiting times have increased in most regions. The government tries to stimulate </w:t>
      </w:r>
      <w:r w:rsidR="00CF5ABB" w:rsidRPr="00AE38CA">
        <w:rPr>
          <w:lang w:bidi="en-GB"/>
        </w:rPr>
        <w:t xml:space="preserve">diversified allocation </w:t>
      </w:r>
      <w:r w:rsidR="00F73700" w:rsidRPr="00AE38CA">
        <w:rPr>
          <w:lang w:bidi="en-GB"/>
        </w:rPr>
        <w:t>by allowing the housing corporations to increase rent</w:t>
      </w:r>
      <w:r w:rsidR="004E5790" w:rsidRPr="00AE38CA">
        <w:rPr>
          <w:lang w:bidi="en-GB"/>
        </w:rPr>
        <w:t>s</w:t>
      </w:r>
      <w:r w:rsidR="00F73700" w:rsidRPr="00AE38CA">
        <w:rPr>
          <w:lang w:bidi="en-GB"/>
        </w:rPr>
        <w:t xml:space="preserve"> according to household income, with little </w:t>
      </w:r>
      <w:r w:rsidR="004E5790" w:rsidRPr="00AE38CA">
        <w:rPr>
          <w:lang w:bidi="en-GB"/>
        </w:rPr>
        <w:t xml:space="preserve">or </w:t>
      </w:r>
      <w:r w:rsidR="00F73700" w:rsidRPr="00AE38CA">
        <w:rPr>
          <w:lang w:bidi="en-GB"/>
        </w:rPr>
        <w:t xml:space="preserve">no effect. As a result, newcomers to the waiting list have no direct access to social housing, unless they acquire a </w:t>
      </w:r>
      <w:r w:rsidR="00A76F96" w:rsidRPr="00AE38CA">
        <w:rPr>
          <w:lang w:bidi="en-GB"/>
        </w:rPr>
        <w:t>certificate</w:t>
      </w:r>
      <w:r w:rsidR="00F73700" w:rsidRPr="00AE38CA">
        <w:rPr>
          <w:lang w:bidi="en-GB"/>
        </w:rPr>
        <w:t xml:space="preserve"> of urgency (</w:t>
      </w:r>
      <w:r w:rsidR="00F73700" w:rsidRPr="00AE38CA">
        <w:rPr>
          <w:i/>
          <w:lang w:bidi="en-GB"/>
        </w:rPr>
        <w:t>urgentieverklaring</w:t>
      </w:r>
      <w:r w:rsidR="00F73700" w:rsidRPr="00AE38CA">
        <w:rPr>
          <w:lang w:bidi="en-GB"/>
        </w:rPr>
        <w:t>).</w:t>
      </w:r>
    </w:p>
    <w:p w14:paraId="7EE94501" w14:textId="689EF2B8" w:rsidR="00E40B97" w:rsidRPr="00AE38CA" w:rsidRDefault="00851622" w:rsidP="00E40B97">
      <w:pPr>
        <w:pStyle w:val="Plattetekst"/>
        <w:rPr>
          <w:lang w:bidi="en-GB"/>
        </w:rPr>
      </w:pPr>
      <w:r w:rsidRPr="00AE38CA">
        <w:rPr>
          <w:lang w:bidi="en-GB"/>
        </w:rPr>
        <w:t xml:space="preserve">Local authorities </w:t>
      </w:r>
      <w:r w:rsidR="00F73700" w:rsidRPr="00AE38CA">
        <w:rPr>
          <w:lang w:bidi="en-GB"/>
        </w:rPr>
        <w:t xml:space="preserve">decide the requirements for </w:t>
      </w:r>
      <w:r w:rsidR="00BC40E5" w:rsidRPr="00AE38CA">
        <w:rPr>
          <w:lang w:bidi="en-GB"/>
        </w:rPr>
        <w:t xml:space="preserve">obtaining </w:t>
      </w:r>
      <w:r w:rsidR="0083284E" w:rsidRPr="00AE38CA">
        <w:rPr>
          <w:lang w:bidi="en-GB"/>
        </w:rPr>
        <w:t>a</w:t>
      </w:r>
      <w:r w:rsidR="00F73700" w:rsidRPr="00AE38CA">
        <w:rPr>
          <w:lang w:bidi="en-GB"/>
        </w:rPr>
        <w:t xml:space="preserve"> </w:t>
      </w:r>
      <w:r w:rsidR="00A3587B" w:rsidRPr="00AE38CA">
        <w:rPr>
          <w:lang w:bidi="en-GB"/>
        </w:rPr>
        <w:t>certificate</w:t>
      </w:r>
      <w:r w:rsidR="00F73700" w:rsidRPr="00AE38CA">
        <w:rPr>
          <w:lang w:bidi="en-GB"/>
        </w:rPr>
        <w:t xml:space="preserve"> of urgency</w:t>
      </w:r>
      <w:r w:rsidR="00591323" w:rsidRPr="00AE38CA">
        <w:rPr>
          <w:lang w:bidi="en-GB"/>
        </w:rPr>
        <w:t>,</w:t>
      </w:r>
      <w:r w:rsidR="00F73700" w:rsidRPr="00AE38CA">
        <w:rPr>
          <w:lang w:bidi="en-GB"/>
        </w:rPr>
        <w:t xml:space="preserve"> facilitating access to social housing </w:t>
      </w:r>
      <w:r w:rsidR="0002676E" w:rsidRPr="00AE38CA">
        <w:rPr>
          <w:lang w:bidi="en-GB"/>
        </w:rPr>
        <w:t xml:space="preserve">to </w:t>
      </w:r>
      <w:r w:rsidR="00F73700" w:rsidRPr="00AE38CA">
        <w:rPr>
          <w:lang w:bidi="en-GB"/>
        </w:rPr>
        <w:t xml:space="preserve">those who are forced to find another home as a result of calamity, forced relocation or divorce. </w:t>
      </w:r>
      <w:r w:rsidR="009C2E1B" w:rsidRPr="00AE38CA">
        <w:t>The question whether applicants have children or not</w:t>
      </w:r>
      <w:r w:rsidR="009C2E1B" w:rsidRPr="00AE38CA">
        <w:rPr>
          <w:lang w:bidi="en-GB"/>
        </w:rPr>
        <w:t xml:space="preserve"> </w:t>
      </w:r>
      <w:r w:rsidR="00591323" w:rsidRPr="00AE38CA">
        <w:rPr>
          <w:lang w:bidi="en-GB"/>
        </w:rPr>
        <w:t xml:space="preserve">is taken into account </w:t>
      </w:r>
      <w:r w:rsidR="00A3587B" w:rsidRPr="00AE38CA">
        <w:rPr>
          <w:lang w:bidi="en-GB"/>
        </w:rPr>
        <w:t>when</w:t>
      </w:r>
      <w:r w:rsidR="00591323" w:rsidRPr="00AE38CA">
        <w:rPr>
          <w:lang w:bidi="en-GB"/>
        </w:rPr>
        <w:t xml:space="preserve"> </w:t>
      </w:r>
      <w:r w:rsidR="00186528" w:rsidRPr="00AE38CA">
        <w:rPr>
          <w:lang w:bidi="en-GB"/>
        </w:rPr>
        <w:t>granting</w:t>
      </w:r>
      <w:r w:rsidR="00591323" w:rsidRPr="00AE38CA">
        <w:rPr>
          <w:lang w:bidi="en-GB"/>
        </w:rPr>
        <w:t xml:space="preserve"> a </w:t>
      </w:r>
      <w:r w:rsidR="00186528" w:rsidRPr="00AE38CA">
        <w:rPr>
          <w:lang w:bidi="en-GB"/>
        </w:rPr>
        <w:t xml:space="preserve">certificate </w:t>
      </w:r>
      <w:r w:rsidR="00591323" w:rsidRPr="00AE38CA">
        <w:rPr>
          <w:lang w:bidi="en-GB"/>
        </w:rPr>
        <w:t>of urgency.</w:t>
      </w:r>
    </w:p>
    <w:p w14:paraId="333C062C" w14:textId="77777777" w:rsidR="002214C0" w:rsidRPr="00AE38CA" w:rsidRDefault="002214C0">
      <w:pPr>
        <w:spacing w:after="0"/>
        <w:jc w:val="left"/>
        <w:rPr>
          <w:rFonts w:ascii="Verdana" w:hAnsi="Verdana"/>
          <w:b/>
          <w:sz w:val="20"/>
          <w:lang w:bidi="en-GB"/>
        </w:rPr>
      </w:pPr>
      <w:r w:rsidRPr="00AE38CA">
        <w:rPr>
          <w:b/>
          <w:lang w:bidi="en-GB"/>
        </w:rPr>
        <w:br w:type="page"/>
      </w:r>
    </w:p>
    <w:p w14:paraId="7E720449" w14:textId="2BFD65ED" w:rsidR="006F624D" w:rsidRPr="00AE38CA" w:rsidRDefault="006F624D" w:rsidP="006F624D">
      <w:pPr>
        <w:pStyle w:val="Plattetekst"/>
        <w:rPr>
          <w:b/>
          <w:lang w:bidi="en-GB"/>
        </w:rPr>
      </w:pPr>
      <w:r w:rsidRPr="00AE38CA">
        <w:rPr>
          <w:b/>
          <w:lang w:bidi="en-GB"/>
        </w:rPr>
        <w:lastRenderedPageBreak/>
        <w:t>Current national programmes for specific target groups</w:t>
      </w:r>
    </w:p>
    <w:p w14:paraId="2FCF51EB" w14:textId="1933D8D5" w:rsidR="004A75AA" w:rsidRPr="00AE38CA" w:rsidRDefault="004A75AA" w:rsidP="00DB42AF">
      <w:pPr>
        <w:pStyle w:val="Plattetekst"/>
        <w:rPr>
          <w:i/>
          <w:color w:val="000000"/>
          <w:lang w:bidi="en-GB"/>
        </w:rPr>
      </w:pPr>
      <w:r w:rsidRPr="00AE38CA">
        <w:rPr>
          <w:i/>
          <w:color w:val="000000"/>
          <w:lang w:bidi="en-GB"/>
        </w:rPr>
        <w:t>De</w:t>
      </w:r>
      <w:r w:rsidR="006F624D" w:rsidRPr="00AE38CA">
        <w:rPr>
          <w:i/>
          <w:color w:val="000000"/>
          <w:lang w:bidi="en-GB"/>
        </w:rPr>
        <w:t>b</w:t>
      </w:r>
      <w:r w:rsidRPr="00AE38CA">
        <w:rPr>
          <w:i/>
          <w:color w:val="000000"/>
          <w:lang w:bidi="en-GB"/>
        </w:rPr>
        <w:t xml:space="preserve">t and </w:t>
      </w:r>
      <w:r w:rsidR="00C735DD" w:rsidRPr="00AE38CA">
        <w:rPr>
          <w:i/>
          <w:color w:val="000000"/>
          <w:lang w:bidi="en-GB"/>
        </w:rPr>
        <w:t>housing ex</w:t>
      </w:r>
      <w:r w:rsidR="007B305D" w:rsidRPr="00AE38CA">
        <w:rPr>
          <w:i/>
          <w:color w:val="000000"/>
          <w:lang w:bidi="en-GB"/>
        </w:rPr>
        <w:t>c</w:t>
      </w:r>
      <w:r w:rsidR="00C735DD" w:rsidRPr="00AE38CA">
        <w:rPr>
          <w:i/>
          <w:color w:val="000000"/>
          <w:lang w:bidi="en-GB"/>
        </w:rPr>
        <w:t>lusion</w:t>
      </w:r>
    </w:p>
    <w:p w14:paraId="288AD91D" w14:textId="0B163E81" w:rsidR="00DB42AF" w:rsidRPr="00AE38CA" w:rsidRDefault="00DB42AF" w:rsidP="00DB42AF">
      <w:pPr>
        <w:pStyle w:val="Plattetekst"/>
        <w:rPr>
          <w:color w:val="000000"/>
          <w:lang w:bidi="en-GB"/>
        </w:rPr>
      </w:pPr>
      <w:r w:rsidRPr="00AE38CA">
        <w:rPr>
          <w:color w:val="000000"/>
          <w:lang w:bidi="en-GB"/>
        </w:rPr>
        <w:t>Municipalities an</w:t>
      </w:r>
      <w:r w:rsidR="00C376B9" w:rsidRPr="00AE38CA">
        <w:rPr>
          <w:color w:val="000000"/>
          <w:lang w:bidi="en-GB"/>
        </w:rPr>
        <w:t>d</w:t>
      </w:r>
      <w:r w:rsidRPr="00AE38CA">
        <w:rPr>
          <w:color w:val="000000"/>
          <w:lang w:bidi="en-GB"/>
        </w:rPr>
        <w:t xml:space="preserve"> corporations have (local) programmes to prevent housing exclusion as much as possible. Nevertheless, it does occur that tenants </w:t>
      </w:r>
      <w:r w:rsidR="001E041F" w:rsidRPr="00AE38CA">
        <w:rPr>
          <w:color w:val="000000"/>
          <w:lang w:bidi="en-GB"/>
        </w:rPr>
        <w:t>–</w:t>
      </w:r>
      <w:r w:rsidRPr="00AE38CA">
        <w:rPr>
          <w:color w:val="000000"/>
          <w:lang w:bidi="en-GB"/>
        </w:rPr>
        <w:t xml:space="preserve"> with and without children </w:t>
      </w:r>
      <w:r w:rsidR="001E041F" w:rsidRPr="00AE38CA">
        <w:rPr>
          <w:color w:val="000000"/>
          <w:lang w:bidi="en-GB"/>
        </w:rPr>
        <w:t>–</w:t>
      </w:r>
      <w:r w:rsidRPr="00AE38CA">
        <w:rPr>
          <w:color w:val="000000"/>
          <w:lang w:bidi="en-GB"/>
        </w:rPr>
        <w:t xml:space="preserve"> who are in a vulnerable situation that is deemed ‘preventable’ (for example when someone is not able to pay </w:t>
      </w:r>
      <w:r w:rsidR="00997C64" w:rsidRPr="00AE38CA">
        <w:rPr>
          <w:color w:val="000000"/>
          <w:lang w:bidi="en-GB"/>
        </w:rPr>
        <w:t xml:space="preserve">their </w:t>
      </w:r>
      <w:r w:rsidRPr="00AE38CA">
        <w:rPr>
          <w:color w:val="000000"/>
          <w:lang w:bidi="en-GB"/>
        </w:rPr>
        <w:t xml:space="preserve">rent because of debt) can be evicted </w:t>
      </w:r>
      <w:r w:rsidR="00997C64" w:rsidRPr="00AE38CA">
        <w:rPr>
          <w:color w:val="000000"/>
          <w:lang w:bidi="en-GB"/>
        </w:rPr>
        <w:t xml:space="preserve">from </w:t>
      </w:r>
      <w:r w:rsidRPr="00AE38CA">
        <w:rPr>
          <w:color w:val="000000"/>
          <w:lang w:bidi="en-GB"/>
        </w:rPr>
        <w:t>their homes.</w:t>
      </w:r>
    </w:p>
    <w:p w14:paraId="06D6CC05" w14:textId="64EFC503" w:rsidR="00C735DD" w:rsidRPr="00AE38CA" w:rsidRDefault="00C735DD" w:rsidP="00C735DD">
      <w:pPr>
        <w:pStyle w:val="Plattetekst"/>
        <w:rPr>
          <w:lang w:bidi="en-GB"/>
        </w:rPr>
      </w:pPr>
      <w:r w:rsidRPr="00AE38CA">
        <w:rPr>
          <w:lang w:bidi="en-GB"/>
        </w:rPr>
        <w:t xml:space="preserve">Households can also be </w:t>
      </w:r>
      <w:r w:rsidR="00997C64" w:rsidRPr="00AE38CA">
        <w:rPr>
          <w:lang w:bidi="en-GB"/>
        </w:rPr>
        <w:t xml:space="preserve">cut off </w:t>
      </w:r>
      <w:r w:rsidRPr="00AE38CA">
        <w:rPr>
          <w:lang w:bidi="en-GB"/>
        </w:rPr>
        <w:t xml:space="preserve">from utility services (water and energy) when failing to pay </w:t>
      </w:r>
      <w:r w:rsidR="00997C64" w:rsidRPr="00AE38CA">
        <w:rPr>
          <w:lang w:bidi="en-GB"/>
        </w:rPr>
        <w:t xml:space="preserve">their </w:t>
      </w:r>
      <w:r w:rsidRPr="00AE38CA">
        <w:rPr>
          <w:lang w:bidi="en-GB"/>
        </w:rPr>
        <w:t xml:space="preserve">utility bills. Households have to apply for debt counselling in order to prevent </w:t>
      </w:r>
      <w:r w:rsidR="00A6199C" w:rsidRPr="00AE38CA">
        <w:rPr>
          <w:lang w:bidi="en-GB"/>
        </w:rPr>
        <w:t>cut-offs</w:t>
      </w:r>
      <w:r w:rsidRPr="00AE38CA">
        <w:rPr>
          <w:lang w:bidi="en-GB"/>
        </w:rPr>
        <w:t xml:space="preserve">. </w:t>
      </w:r>
      <w:r w:rsidR="00840BD0" w:rsidRPr="00AE38CA">
        <w:rPr>
          <w:lang w:bidi="en-GB"/>
        </w:rPr>
        <w:t>In th</w:t>
      </w:r>
      <w:r w:rsidR="0069663E" w:rsidRPr="00AE38CA">
        <w:rPr>
          <w:lang w:bidi="en-GB"/>
        </w:rPr>
        <w:t xml:space="preserve">ese situations, </w:t>
      </w:r>
      <w:r w:rsidR="00840BD0" w:rsidRPr="00AE38CA">
        <w:rPr>
          <w:lang w:bidi="en-GB"/>
        </w:rPr>
        <w:t>c</w:t>
      </w:r>
      <w:r w:rsidRPr="00AE38CA">
        <w:rPr>
          <w:lang w:bidi="en-GB"/>
        </w:rPr>
        <w:t>hildren are dependent on their parents to take action.</w:t>
      </w:r>
    </w:p>
    <w:p w14:paraId="78DD1B3C" w14:textId="00174986" w:rsidR="00DB42AF" w:rsidRPr="00AE38CA" w:rsidRDefault="00DB42AF" w:rsidP="00DB42AF">
      <w:pPr>
        <w:pStyle w:val="Plattetekst"/>
        <w:rPr>
          <w:lang w:bidi="en-GB"/>
        </w:rPr>
      </w:pPr>
      <w:r w:rsidRPr="00AE38CA">
        <w:t>The ESPN country profile 2017-2018 reports that the annual number of home evictions in the Netherlands decreased by 31% between 2013 and 2016</w:t>
      </w:r>
      <w:r w:rsidR="006B551E" w:rsidRPr="00AE38CA">
        <w:t xml:space="preserve"> (see also: Aede</w:t>
      </w:r>
      <w:r w:rsidR="00FC45D4" w:rsidRPr="00AE38CA">
        <w:t>s, 2017)</w:t>
      </w:r>
      <w:r w:rsidRPr="00AE38CA">
        <w:t xml:space="preserve">. Most evictions are due to rental arrears (85.1% in 2016). Most housing associations do not keep records on types of households that are involved. Among associations that do keep records of the types of households, figures indicate that 10% of the home evictions involve households with children. The age of these children is not recorded in those statistics. </w:t>
      </w:r>
      <w:r w:rsidRPr="00AE38CA">
        <w:rPr>
          <w:lang w:bidi="en-GB"/>
        </w:rPr>
        <w:t xml:space="preserve">Children who become homeless without parents, fall under the responsibility of youth </w:t>
      </w:r>
      <w:r w:rsidR="0082724F" w:rsidRPr="00AE38CA">
        <w:rPr>
          <w:lang w:bidi="en-GB"/>
        </w:rPr>
        <w:t xml:space="preserve">care </w:t>
      </w:r>
      <w:r w:rsidRPr="00AE38CA">
        <w:rPr>
          <w:lang w:bidi="en-GB"/>
        </w:rPr>
        <w:t>services.</w:t>
      </w:r>
    </w:p>
    <w:p w14:paraId="556AC701" w14:textId="47B61842" w:rsidR="00DB42AF" w:rsidRPr="00AE38CA" w:rsidRDefault="00DB42AF" w:rsidP="00DB42AF">
      <w:pPr>
        <w:pStyle w:val="Plattetekst"/>
        <w:rPr>
          <w:lang w:bidi="en-GB"/>
        </w:rPr>
      </w:pPr>
      <w:r w:rsidRPr="00AE38CA">
        <w:rPr>
          <w:lang w:bidi="en-GB"/>
        </w:rPr>
        <w:t xml:space="preserve">Defence for Children </w:t>
      </w:r>
      <w:r w:rsidR="00654E22" w:rsidRPr="00AE38CA">
        <w:rPr>
          <w:lang w:bidi="en-GB"/>
        </w:rPr>
        <w:t xml:space="preserve">Netherlands </w:t>
      </w:r>
      <w:r w:rsidRPr="00AE38CA">
        <w:rPr>
          <w:lang w:bidi="en-GB"/>
        </w:rPr>
        <w:t xml:space="preserve">warns that the rights of children are often overlooked when parents </w:t>
      </w:r>
      <w:r w:rsidR="002947A5" w:rsidRPr="00AE38CA">
        <w:rPr>
          <w:lang w:bidi="en-GB"/>
        </w:rPr>
        <w:t>are evicted</w:t>
      </w:r>
      <w:r w:rsidRPr="00AE38CA">
        <w:rPr>
          <w:lang w:bidi="en-GB"/>
        </w:rPr>
        <w:t xml:space="preserve">. </w:t>
      </w:r>
      <w:r w:rsidR="00731E0C" w:rsidRPr="00AE38CA">
        <w:rPr>
          <w:lang w:bidi="en-GB"/>
        </w:rPr>
        <w:t>C</w:t>
      </w:r>
      <w:r w:rsidRPr="00AE38CA">
        <w:rPr>
          <w:lang w:bidi="en-GB"/>
        </w:rPr>
        <w:t>hildren are sometimes (temporarily) separated from their parents, placed in a volatile and unstable living situation (such as a shelter) or cut off from their social networks and/or school</w:t>
      </w:r>
      <w:r w:rsidR="00731E0C" w:rsidRPr="00AE38CA">
        <w:rPr>
          <w:lang w:bidi="en-GB"/>
        </w:rPr>
        <w:t xml:space="preserve"> (Bahlmann, 2018)</w:t>
      </w:r>
      <w:r w:rsidRPr="00AE38CA">
        <w:rPr>
          <w:lang w:bidi="en-GB"/>
        </w:rPr>
        <w:t xml:space="preserve">. This can lead to stress and insecurity and detriments the child’s wellbeing. Defence for Children concludes that separating children from parents who have become homeless does not </w:t>
      </w:r>
      <w:r w:rsidR="0016421D" w:rsidRPr="00AE38CA">
        <w:rPr>
          <w:lang w:bidi="en-GB"/>
        </w:rPr>
        <w:t xml:space="preserve">comply with </w:t>
      </w:r>
      <w:r w:rsidRPr="00AE38CA">
        <w:rPr>
          <w:lang w:bidi="en-GB"/>
        </w:rPr>
        <w:t>the Convention on the Rights to the Child and should be avoided in any way possible.</w:t>
      </w:r>
      <w:r w:rsidR="006D66A6" w:rsidRPr="00AE38CA">
        <w:rPr>
          <w:lang w:bidi="en-GB"/>
        </w:rPr>
        <w:t xml:space="preserve"> </w:t>
      </w:r>
    </w:p>
    <w:p w14:paraId="5CA591E1" w14:textId="493F9B0B" w:rsidR="006D66A6" w:rsidRPr="00AE38CA" w:rsidRDefault="006F624D" w:rsidP="00DB42AF">
      <w:pPr>
        <w:pStyle w:val="Plattetekst"/>
        <w:rPr>
          <w:i/>
          <w:lang w:bidi="en-GB"/>
        </w:rPr>
      </w:pPr>
      <w:r w:rsidRPr="00AE38CA">
        <w:rPr>
          <w:i/>
          <w:lang w:bidi="en-GB"/>
        </w:rPr>
        <w:t>Homelessness</w:t>
      </w:r>
    </w:p>
    <w:p w14:paraId="080A9A94" w14:textId="55B2E6C2" w:rsidR="00F73700" w:rsidRPr="00AE38CA" w:rsidRDefault="00F73700" w:rsidP="00F73700">
      <w:pPr>
        <w:pStyle w:val="Plattetekst"/>
        <w:rPr>
          <w:lang w:bidi="en-GB"/>
        </w:rPr>
      </w:pPr>
      <w:r w:rsidRPr="00AE38CA">
        <w:rPr>
          <w:lang w:bidi="en-GB"/>
        </w:rPr>
        <w:t>Statistics on homelessness are not very precise, because homeless people are not always registered. According to research by the European NGO FEANTSA</w:t>
      </w:r>
      <w:r w:rsidR="00E43A66" w:rsidRPr="00AE38CA">
        <w:rPr>
          <w:lang w:bidi="en-GB"/>
        </w:rPr>
        <w:t xml:space="preserve"> (2018)</w:t>
      </w:r>
      <w:r w:rsidRPr="00AE38CA">
        <w:rPr>
          <w:lang w:bidi="en-GB"/>
        </w:rPr>
        <w:t>, 60</w:t>
      </w:r>
      <w:r w:rsidR="0016421D" w:rsidRPr="00AE38CA">
        <w:rPr>
          <w:lang w:bidi="en-GB"/>
        </w:rPr>
        <w:t>,</w:t>
      </w:r>
      <w:r w:rsidRPr="00AE38CA">
        <w:rPr>
          <w:lang w:bidi="en-GB"/>
        </w:rPr>
        <w:t xml:space="preserve">120 people </w:t>
      </w:r>
      <w:r w:rsidR="000D794F" w:rsidRPr="00AE38CA">
        <w:rPr>
          <w:lang w:bidi="en-GB"/>
        </w:rPr>
        <w:t>we</w:t>
      </w:r>
      <w:r w:rsidRPr="00AE38CA">
        <w:rPr>
          <w:lang w:bidi="en-GB"/>
        </w:rPr>
        <w:t>re residing in homeless accommodation services</w:t>
      </w:r>
      <w:r w:rsidR="0061058B" w:rsidRPr="00AE38CA">
        <w:rPr>
          <w:lang w:bidi="en-GB"/>
        </w:rPr>
        <w:t xml:space="preserve"> in the Netherlands</w:t>
      </w:r>
      <w:r w:rsidRPr="00AE38CA">
        <w:rPr>
          <w:lang w:bidi="en-GB"/>
        </w:rPr>
        <w:t xml:space="preserve"> in 2016. </w:t>
      </w:r>
      <w:r w:rsidR="00D04D3E" w:rsidRPr="00AE38CA">
        <w:rPr>
          <w:lang w:bidi="en-GB"/>
        </w:rPr>
        <w:t xml:space="preserve">Statistics Netherlands </w:t>
      </w:r>
      <w:r w:rsidR="00CA118A" w:rsidRPr="00AE38CA">
        <w:rPr>
          <w:lang w:bidi="en-GB"/>
        </w:rPr>
        <w:t xml:space="preserve">estimates </w:t>
      </w:r>
      <w:r w:rsidR="006F4159" w:rsidRPr="00AE38CA">
        <w:rPr>
          <w:lang w:bidi="en-GB"/>
        </w:rPr>
        <w:t>that there were 30</w:t>
      </w:r>
      <w:r w:rsidR="00177322" w:rsidRPr="00AE38CA">
        <w:rPr>
          <w:lang w:bidi="en-GB"/>
        </w:rPr>
        <w:t>,</w:t>
      </w:r>
      <w:r w:rsidR="00D6392B" w:rsidRPr="00AE38CA">
        <w:rPr>
          <w:lang w:bidi="en-GB"/>
        </w:rPr>
        <w:t xml:space="preserve">500 </w:t>
      </w:r>
      <w:r w:rsidR="00D657F9" w:rsidRPr="00AE38CA">
        <w:rPr>
          <w:lang w:bidi="en-GB"/>
        </w:rPr>
        <w:t xml:space="preserve">homeless people </w:t>
      </w:r>
      <w:r w:rsidR="00031A49" w:rsidRPr="00AE38CA">
        <w:rPr>
          <w:lang w:bidi="en-GB"/>
        </w:rPr>
        <w:t xml:space="preserve">in that year. </w:t>
      </w:r>
      <w:r w:rsidRPr="00AE38CA">
        <w:rPr>
          <w:lang w:bidi="en-GB"/>
        </w:rPr>
        <w:t>4</w:t>
      </w:r>
      <w:r w:rsidR="00177322" w:rsidRPr="00AE38CA">
        <w:rPr>
          <w:lang w:bidi="en-GB"/>
        </w:rPr>
        <w:t>,</w:t>
      </w:r>
      <w:r w:rsidRPr="00AE38CA">
        <w:rPr>
          <w:lang w:bidi="en-GB"/>
        </w:rPr>
        <w:t>000 children were registered as homeless in 2015.</w:t>
      </w:r>
    </w:p>
    <w:p w14:paraId="26B35E8D" w14:textId="52426DEF" w:rsidR="00F73700" w:rsidRPr="00AE38CA" w:rsidRDefault="00F73700" w:rsidP="00F73700">
      <w:pPr>
        <w:pStyle w:val="Plattetekst"/>
        <w:rPr>
          <w:lang w:bidi="en-GB"/>
        </w:rPr>
      </w:pPr>
      <w:r w:rsidRPr="00AE38CA">
        <w:rPr>
          <w:lang w:bidi="en-GB"/>
        </w:rPr>
        <w:t>Since 2015, access to shelter is warranted in the social support Act (WMO). A person who cannot support himself or herself and who has no family or social safety net to turn to, can ask for shelter and help in the municipality in the Netherlands where they have ‘local ties’.</w:t>
      </w:r>
      <w:r w:rsidR="00F04BBE" w:rsidRPr="00AE38CA">
        <w:rPr>
          <w:lang w:bidi="en-GB"/>
        </w:rPr>
        <w:t xml:space="preserve"> </w:t>
      </w:r>
      <w:r w:rsidRPr="00AE38CA">
        <w:rPr>
          <w:lang w:bidi="en-GB"/>
        </w:rPr>
        <w:t>The largest municipalities receive financial means from the central government to subsidi</w:t>
      </w:r>
      <w:r w:rsidR="0021020A" w:rsidRPr="00AE38CA">
        <w:rPr>
          <w:lang w:bidi="en-GB"/>
        </w:rPr>
        <w:t>s</w:t>
      </w:r>
      <w:r w:rsidRPr="00AE38CA">
        <w:rPr>
          <w:lang w:bidi="en-GB"/>
        </w:rPr>
        <w:t xml:space="preserve">e services for homeless people in their region. The services for homeless people in the Netherlands are private, non-profit organisations offering different kinds of services and accommodation, such as night shelters, homeless hostels, temporary supported accommodation, women’s shelters and crisis shelters. </w:t>
      </w:r>
      <w:r w:rsidR="00FC02EC" w:rsidRPr="00AE38CA">
        <w:rPr>
          <w:lang w:bidi="en-GB"/>
        </w:rPr>
        <w:t>When there are children involved, youth aid organi</w:t>
      </w:r>
      <w:r w:rsidR="00AB5725" w:rsidRPr="00AE38CA">
        <w:rPr>
          <w:lang w:bidi="en-GB"/>
        </w:rPr>
        <w:t>s</w:t>
      </w:r>
      <w:r w:rsidR="00FC02EC" w:rsidRPr="00AE38CA">
        <w:rPr>
          <w:lang w:bidi="en-GB"/>
        </w:rPr>
        <w:t>ations should be notified to monitor the situation.</w:t>
      </w:r>
    </w:p>
    <w:p w14:paraId="1A2CF12D" w14:textId="5AB30F02" w:rsidR="00F73700" w:rsidRPr="00AE38CA" w:rsidRDefault="00F73700" w:rsidP="00F73700">
      <w:pPr>
        <w:pStyle w:val="Plattetekst"/>
        <w:rPr>
          <w:lang w:bidi="en-GB"/>
        </w:rPr>
      </w:pPr>
      <w:r w:rsidRPr="00AE38CA">
        <w:rPr>
          <w:lang w:bidi="en-GB"/>
        </w:rPr>
        <w:t>At the time of writing, there were no national programmes in relation to decent ho</w:t>
      </w:r>
      <w:r w:rsidR="00345621" w:rsidRPr="00AE38CA">
        <w:rPr>
          <w:lang w:bidi="en-GB"/>
        </w:rPr>
        <w:t>u</w:t>
      </w:r>
      <w:r w:rsidRPr="00AE38CA">
        <w:rPr>
          <w:lang w:bidi="en-GB"/>
        </w:rPr>
        <w:t xml:space="preserve">sing specifically targeting children. Disadvantaged groups in general are ensured priority consideration through the municipal </w:t>
      </w:r>
      <w:r w:rsidR="004F3DBF" w:rsidRPr="00AE38CA">
        <w:rPr>
          <w:lang w:bidi="en-GB"/>
        </w:rPr>
        <w:t xml:space="preserve">certificates </w:t>
      </w:r>
      <w:r w:rsidRPr="00AE38CA">
        <w:rPr>
          <w:lang w:bidi="en-GB"/>
        </w:rPr>
        <w:t xml:space="preserve">of urgency, in which both medical and social considerations are taken into account. </w:t>
      </w:r>
    </w:p>
    <w:p w14:paraId="5846A536" w14:textId="5042EC01" w:rsidR="00345621" w:rsidRPr="00AE38CA" w:rsidRDefault="00345621" w:rsidP="00F73700">
      <w:pPr>
        <w:pStyle w:val="Plattetekst"/>
        <w:rPr>
          <w:i/>
          <w:lang w:bidi="en-GB"/>
        </w:rPr>
      </w:pPr>
      <w:r w:rsidRPr="00AE38CA">
        <w:rPr>
          <w:i/>
          <w:lang w:bidi="en-GB"/>
        </w:rPr>
        <w:t xml:space="preserve">Children/people with </w:t>
      </w:r>
      <w:r w:rsidR="00F43044" w:rsidRPr="00AE38CA">
        <w:rPr>
          <w:i/>
          <w:lang w:bidi="en-GB"/>
        </w:rPr>
        <w:t>a disability</w:t>
      </w:r>
    </w:p>
    <w:p w14:paraId="40CEE64A" w14:textId="2160D100" w:rsidR="00F2705F" w:rsidRPr="00AE38CA" w:rsidRDefault="00F2705F" w:rsidP="00F2705F">
      <w:pPr>
        <w:pStyle w:val="Plattetekst"/>
        <w:rPr>
          <w:lang w:bidi="en-GB"/>
        </w:rPr>
      </w:pPr>
      <w:r w:rsidRPr="00AE38CA">
        <w:rPr>
          <w:lang w:bidi="en-GB"/>
        </w:rPr>
        <w:t xml:space="preserve">The Dutch building code contains some rules regarding the accessibility of new developed buildings. Article 4.24 for example stipulates rules for the accessibility for persons with disabilities to high buildings and </w:t>
      </w:r>
      <w:r w:rsidR="004F3DBF" w:rsidRPr="00AE38CA">
        <w:rPr>
          <w:lang w:bidi="en-GB"/>
        </w:rPr>
        <w:t xml:space="preserve">larger </w:t>
      </w:r>
      <w:r w:rsidRPr="00AE38CA">
        <w:rPr>
          <w:lang w:bidi="en-GB"/>
        </w:rPr>
        <w:t xml:space="preserve">houses. </w:t>
      </w:r>
    </w:p>
    <w:p w14:paraId="492CFDD9" w14:textId="45EA4DB7" w:rsidR="00F73700" w:rsidRPr="00AE38CA" w:rsidRDefault="00F73700" w:rsidP="00F73700">
      <w:pPr>
        <w:pStyle w:val="Plattetekst"/>
        <w:rPr>
          <w:lang w:bidi="en-GB"/>
        </w:rPr>
      </w:pPr>
      <w:r w:rsidRPr="00AE38CA">
        <w:rPr>
          <w:lang w:bidi="en-GB"/>
        </w:rPr>
        <w:t xml:space="preserve">The Netherlands committed to the UN Convention on the Rights of Persons with Disabilities which intends to protect the rights and dignity of persons with disabilities. Parents </w:t>
      </w:r>
      <w:r w:rsidR="0021148B" w:rsidRPr="00AE38CA">
        <w:rPr>
          <w:lang w:bidi="en-GB"/>
        </w:rPr>
        <w:t xml:space="preserve">of </w:t>
      </w:r>
      <w:r w:rsidRPr="00AE38CA">
        <w:rPr>
          <w:lang w:bidi="en-GB"/>
        </w:rPr>
        <w:t xml:space="preserve">children with disabilities or other special needs can apply for financial support from the government to adapt their house to the needs of their children. </w:t>
      </w:r>
    </w:p>
    <w:p w14:paraId="4B8D64E5" w14:textId="52C063F4" w:rsidR="00585840" w:rsidRPr="00AE38CA" w:rsidRDefault="0087765D" w:rsidP="00585840">
      <w:pPr>
        <w:pStyle w:val="Plattetekst"/>
        <w:rPr>
          <w:lang w:bidi="en-GB"/>
        </w:rPr>
      </w:pPr>
      <w:r w:rsidRPr="00AE38CA">
        <w:rPr>
          <w:lang w:bidi="en-GB"/>
        </w:rPr>
        <w:lastRenderedPageBreak/>
        <w:t>S</w:t>
      </w:r>
      <w:r w:rsidR="00585840" w:rsidRPr="00AE38CA">
        <w:rPr>
          <w:lang w:bidi="en-GB"/>
        </w:rPr>
        <w:t xml:space="preserve">tudies on living experiences </w:t>
      </w:r>
      <w:r w:rsidR="0021148B" w:rsidRPr="00AE38CA">
        <w:rPr>
          <w:lang w:bidi="en-GB"/>
        </w:rPr>
        <w:t xml:space="preserve">of </w:t>
      </w:r>
      <w:r w:rsidR="00585840" w:rsidRPr="00AE38CA">
        <w:rPr>
          <w:lang w:bidi="en-GB"/>
        </w:rPr>
        <w:t xml:space="preserve">people with disabilities report that affordable possibilities on the housing market are limited and that </w:t>
      </w:r>
      <w:r w:rsidR="00271934" w:rsidRPr="00AE38CA">
        <w:rPr>
          <w:lang w:bidi="en-GB"/>
        </w:rPr>
        <w:t xml:space="preserve">often </w:t>
      </w:r>
      <w:r w:rsidR="00585840" w:rsidRPr="00AE38CA">
        <w:rPr>
          <w:lang w:bidi="en-GB"/>
        </w:rPr>
        <w:t xml:space="preserve">concessions need to </w:t>
      </w:r>
      <w:r w:rsidR="005F1E97" w:rsidRPr="00AE38CA">
        <w:rPr>
          <w:lang w:bidi="en-GB"/>
        </w:rPr>
        <w:t xml:space="preserve">be </w:t>
      </w:r>
      <w:r w:rsidR="00585840" w:rsidRPr="00AE38CA">
        <w:rPr>
          <w:lang w:bidi="en-GB"/>
        </w:rPr>
        <w:t>made in terms of location and proximity to schools, family and care institutions</w:t>
      </w:r>
      <w:r w:rsidRPr="00AE38CA">
        <w:rPr>
          <w:lang w:bidi="en-GB"/>
        </w:rPr>
        <w:t xml:space="preserve"> (</w:t>
      </w:r>
      <w:r w:rsidR="00D91D3F" w:rsidRPr="00AE38CA">
        <w:rPr>
          <w:lang w:bidi="en-GB"/>
        </w:rPr>
        <w:t xml:space="preserve">van der </w:t>
      </w:r>
      <w:r w:rsidR="00844C47" w:rsidRPr="00AE38CA">
        <w:rPr>
          <w:lang w:bidi="en-GB"/>
        </w:rPr>
        <w:t>Vlist et al.,</w:t>
      </w:r>
      <w:r w:rsidRPr="00AE38CA">
        <w:rPr>
          <w:lang w:bidi="en-GB"/>
        </w:rPr>
        <w:t xml:space="preserve"> 201</w:t>
      </w:r>
      <w:r w:rsidR="00A34305" w:rsidRPr="00AE38CA">
        <w:rPr>
          <w:lang w:bidi="en-GB"/>
        </w:rPr>
        <w:t>6;</w:t>
      </w:r>
      <w:r w:rsidR="00250E94" w:rsidRPr="00AE38CA">
        <w:rPr>
          <w:lang w:bidi="en-GB"/>
        </w:rPr>
        <w:t xml:space="preserve"> Netherlands Institute for Human Rights</w:t>
      </w:r>
      <w:r w:rsidR="007C335E" w:rsidRPr="00AE38CA">
        <w:rPr>
          <w:lang w:bidi="en-GB"/>
        </w:rPr>
        <w:t>, 2017)</w:t>
      </w:r>
      <w:r w:rsidR="00585840" w:rsidRPr="00AE38CA">
        <w:rPr>
          <w:lang w:bidi="en-GB"/>
        </w:rPr>
        <w:t>.</w:t>
      </w:r>
    </w:p>
    <w:p w14:paraId="72AF2C37" w14:textId="77777777" w:rsidR="00F43044" w:rsidRPr="00AE38CA" w:rsidRDefault="00F43044" w:rsidP="00F73700">
      <w:pPr>
        <w:pStyle w:val="Plattetekst"/>
        <w:rPr>
          <w:i/>
          <w:lang w:bidi="en-GB"/>
        </w:rPr>
      </w:pPr>
      <w:r w:rsidRPr="00AE38CA">
        <w:rPr>
          <w:i/>
          <w:lang w:bidi="en-GB"/>
        </w:rPr>
        <w:t>Children/people with a migration background</w:t>
      </w:r>
    </w:p>
    <w:p w14:paraId="0A7EE9BF" w14:textId="547D620F" w:rsidR="00A4017B" w:rsidRPr="00AE38CA" w:rsidRDefault="00B97CCE" w:rsidP="009F7AFC">
      <w:pPr>
        <w:pStyle w:val="Plattetekst"/>
        <w:rPr>
          <w:lang w:bidi="en-GB"/>
        </w:rPr>
      </w:pPr>
      <w:r w:rsidRPr="00AE38CA">
        <w:rPr>
          <w:lang w:bidi="en-GB"/>
        </w:rPr>
        <w:t>In 201</w:t>
      </w:r>
      <w:r w:rsidR="00DE39E8" w:rsidRPr="00AE38CA">
        <w:rPr>
          <w:lang w:bidi="en-GB"/>
        </w:rPr>
        <w:t>8</w:t>
      </w:r>
      <w:r w:rsidR="00522D0A" w:rsidRPr="00AE38CA">
        <w:rPr>
          <w:lang w:bidi="en-GB"/>
        </w:rPr>
        <w:t xml:space="preserve">, </w:t>
      </w:r>
      <w:r w:rsidR="006F73CB" w:rsidRPr="00AE38CA">
        <w:rPr>
          <w:lang w:bidi="en-GB"/>
        </w:rPr>
        <w:t>20</w:t>
      </w:r>
      <w:r w:rsidR="0021148B" w:rsidRPr="00AE38CA">
        <w:rPr>
          <w:lang w:bidi="en-GB"/>
        </w:rPr>
        <w:t>,</w:t>
      </w:r>
      <w:r w:rsidR="006F73CB" w:rsidRPr="00AE38CA">
        <w:rPr>
          <w:lang w:bidi="en-GB"/>
        </w:rPr>
        <w:t xml:space="preserve">353 people applied </w:t>
      </w:r>
      <w:r w:rsidR="003A7CA7" w:rsidRPr="00AE38CA">
        <w:rPr>
          <w:lang w:bidi="en-GB"/>
        </w:rPr>
        <w:t>for asylum in the Nether</w:t>
      </w:r>
      <w:r w:rsidR="00D6365E" w:rsidRPr="00AE38CA">
        <w:rPr>
          <w:lang w:bidi="en-GB"/>
        </w:rPr>
        <w:t>lands</w:t>
      </w:r>
      <w:r w:rsidR="00834F38" w:rsidRPr="00AE38CA">
        <w:rPr>
          <w:lang w:bidi="en-GB"/>
        </w:rPr>
        <w:t xml:space="preserve"> (</w:t>
      </w:r>
      <w:r w:rsidR="00292E85" w:rsidRPr="00AE38CA">
        <w:rPr>
          <w:lang w:bidi="en-GB"/>
        </w:rPr>
        <w:t>Dutch Council for Refugees, 2019)</w:t>
      </w:r>
      <w:r w:rsidR="006F73CB" w:rsidRPr="00AE38CA">
        <w:rPr>
          <w:lang w:bidi="en-GB"/>
        </w:rPr>
        <w:t>. 1</w:t>
      </w:r>
      <w:r w:rsidR="0021148B" w:rsidRPr="00AE38CA">
        <w:rPr>
          <w:lang w:bidi="en-GB"/>
        </w:rPr>
        <w:t>,</w:t>
      </w:r>
      <w:r w:rsidR="006F73CB" w:rsidRPr="00AE38CA">
        <w:rPr>
          <w:lang w:bidi="en-GB"/>
        </w:rPr>
        <w:t xml:space="preserve">225 of them were </w:t>
      </w:r>
      <w:r w:rsidR="009E4E6C" w:rsidRPr="00AE38CA">
        <w:rPr>
          <w:lang w:bidi="en-GB"/>
        </w:rPr>
        <w:t>unaccompanied minor asylum seekers (</w:t>
      </w:r>
      <w:r w:rsidR="00D62F49" w:rsidRPr="00AE38CA">
        <w:rPr>
          <w:lang w:bidi="en-GB"/>
        </w:rPr>
        <w:t>UMA</w:t>
      </w:r>
      <w:r w:rsidR="00612A82" w:rsidRPr="00AE38CA">
        <w:rPr>
          <w:lang w:bidi="en-GB"/>
        </w:rPr>
        <w:t>s</w:t>
      </w:r>
      <w:r w:rsidR="00D62F49" w:rsidRPr="00AE38CA">
        <w:rPr>
          <w:lang w:bidi="en-GB"/>
        </w:rPr>
        <w:t>)</w:t>
      </w:r>
      <w:r w:rsidR="006F73CB" w:rsidRPr="00AE38CA">
        <w:rPr>
          <w:lang w:bidi="en-GB"/>
        </w:rPr>
        <w:t>.</w:t>
      </w:r>
      <w:r w:rsidR="00EF1BC6" w:rsidRPr="00AE38CA">
        <w:rPr>
          <w:lang w:bidi="en-GB"/>
        </w:rPr>
        <w:t xml:space="preserve"> </w:t>
      </w:r>
    </w:p>
    <w:p w14:paraId="2656CD65" w14:textId="1B72D295" w:rsidR="006F73CB" w:rsidRPr="00AE38CA" w:rsidRDefault="00EF1BC6" w:rsidP="009F7AFC">
      <w:pPr>
        <w:pStyle w:val="Plattetekst"/>
      </w:pPr>
      <w:r w:rsidRPr="00AE38CA">
        <w:rPr>
          <w:lang w:bidi="en-GB"/>
        </w:rPr>
        <w:t xml:space="preserve">People waiting for </w:t>
      </w:r>
      <w:r w:rsidR="00EF086B" w:rsidRPr="00AE38CA">
        <w:rPr>
          <w:lang w:bidi="en-GB"/>
        </w:rPr>
        <w:t xml:space="preserve">a </w:t>
      </w:r>
      <w:r w:rsidR="00DE5D65" w:rsidRPr="00AE38CA">
        <w:rPr>
          <w:lang w:bidi="en-GB"/>
        </w:rPr>
        <w:t>residence permit, reside in asylum cent</w:t>
      </w:r>
      <w:r w:rsidR="00F46701" w:rsidRPr="00AE38CA">
        <w:rPr>
          <w:lang w:bidi="en-GB"/>
        </w:rPr>
        <w:t>r</w:t>
      </w:r>
      <w:r w:rsidR="00DE5D65" w:rsidRPr="00AE38CA">
        <w:rPr>
          <w:lang w:bidi="en-GB"/>
        </w:rPr>
        <w:t xml:space="preserve">es. </w:t>
      </w:r>
      <w:r w:rsidR="00612A82" w:rsidRPr="00AE38CA">
        <w:rPr>
          <w:lang w:bidi="en-GB"/>
        </w:rPr>
        <w:t xml:space="preserve">UMAs below the age of 15 are </w:t>
      </w:r>
      <w:r w:rsidR="005D771C" w:rsidRPr="00AE38CA">
        <w:rPr>
          <w:lang w:bidi="en-GB"/>
        </w:rPr>
        <w:t>placed in foster care</w:t>
      </w:r>
      <w:r w:rsidR="000B00D1" w:rsidRPr="00AE38CA">
        <w:rPr>
          <w:lang w:bidi="en-GB"/>
        </w:rPr>
        <w:t xml:space="preserve">, where </w:t>
      </w:r>
      <w:r w:rsidR="009F7AFC" w:rsidRPr="00AE38CA">
        <w:t xml:space="preserve"> they stay until family reunification, their 18th birthday, or repatriation to the country of origin. </w:t>
      </w:r>
    </w:p>
    <w:p w14:paraId="4E1FBCEF" w14:textId="44D600EC" w:rsidR="00B62A90" w:rsidRPr="00AE38CA" w:rsidRDefault="00F73700" w:rsidP="00B62A90">
      <w:pPr>
        <w:pStyle w:val="Plattetekst"/>
        <w:rPr>
          <w:b/>
          <w:lang w:bidi="en-GB"/>
        </w:rPr>
      </w:pPr>
      <w:r w:rsidRPr="00AE38CA">
        <w:rPr>
          <w:lang w:bidi="en-GB"/>
        </w:rPr>
        <w:t>Municipalities are obliged to ensure housing for immigrants in the Netherlands who acquired a residence permit. This group is offered social housing</w:t>
      </w:r>
      <w:r w:rsidR="00F43044" w:rsidRPr="00AE38CA">
        <w:rPr>
          <w:lang w:bidi="en-GB"/>
        </w:rPr>
        <w:t xml:space="preserve"> through a </w:t>
      </w:r>
      <w:r w:rsidR="00186528" w:rsidRPr="00AE38CA">
        <w:rPr>
          <w:lang w:bidi="en-GB"/>
        </w:rPr>
        <w:t xml:space="preserve">certificate </w:t>
      </w:r>
      <w:r w:rsidR="00322742" w:rsidRPr="00AE38CA">
        <w:rPr>
          <w:lang w:bidi="en-GB"/>
        </w:rPr>
        <w:t>of urgency</w:t>
      </w:r>
      <w:r w:rsidRPr="00AE38CA">
        <w:rPr>
          <w:lang w:bidi="en-GB"/>
        </w:rPr>
        <w:t>. If a newcomer does not accept the first offer, he/she will be put on the waiting list. A change of law in July 2017 offered more flexibility in municipal priority considerations. The housing market in most areas in the Netherlands is so tight that some local governments change the regulations to give priority to other vulnerable groups</w:t>
      </w:r>
      <w:r w:rsidR="001153F3" w:rsidRPr="00AE38CA">
        <w:rPr>
          <w:lang w:bidi="en-GB"/>
        </w:rPr>
        <w:t>. Migrants are offered</w:t>
      </w:r>
      <w:r w:rsidR="001B27A1" w:rsidRPr="00AE38CA">
        <w:rPr>
          <w:lang w:bidi="en-GB"/>
        </w:rPr>
        <w:t xml:space="preserve"> temporary housing </w:t>
      </w:r>
      <w:r w:rsidR="001153F3" w:rsidRPr="00AE38CA">
        <w:rPr>
          <w:lang w:bidi="en-GB"/>
        </w:rPr>
        <w:t>instead</w:t>
      </w:r>
      <w:r w:rsidRPr="00AE38CA">
        <w:rPr>
          <w:lang w:bidi="en-GB"/>
        </w:rPr>
        <w:t>.</w:t>
      </w:r>
    </w:p>
    <w:p w14:paraId="3F928F8B" w14:textId="0F1FB2EC" w:rsidR="00B62A90" w:rsidRPr="00AE38CA" w:rsidRDefault="00B62A90" w:rsidP="00B62A90">
      <w:pPr>
        <w:pStyle w:val="Plattetekst"/>
        <w:rPr>
          <w:b/>
          <w:lang w:bidi="en-GB"/>
        </w:rPr>
      </w:pPr>
      <w:r w:rsidRPr="00AE38CA">
        <w:rPr>
          <w:b/>
          <w:lang w:bidi="en-GB"/>
        </w:rPr>
        <w:t>Assessment and conclusions</w:t>
      </w:r>
    </w:p>
    <w:p w14:paraId="75666981" w14:textId="09953E69" w:rsidR="003F1AA0" w:rsidRPr="00AE38CA" w:rsidRDefault="00F73700" w:rsidP="003F1AA0">
      <w:pPr>
        <w:pStyle w:val="Plattetekst"/>
        <w:rPr>
          <w:lang w:bidi="en-GB"/>
        </w:rPr>
      </w:pPr>
      <w:r w:rsidRPr="00AE38CA">
        <w:rPr>
          <w:lang w:bidi="en-GB"/>
        </w:rPr>
        <w:t xml:space="preserve">Looking at the policies described above, we can conclude that the Dutch government has several policies to ensure that the quality of housing meets national health, safety and sustainability standards for its citizens. The social housing system ensures that households have access to affordable rental houses (social housing). Furthermore, </w:t>
      </w:r>
      <w:r w:rsidR="006E51EC" w:rsidRPr="00AE38CA">
        <w:rPr>
          <w:lang w:bidi="en-GB"/>
        </w:rPr>
        <w:t>people with low incomes may</w:t>
      </w:r>
      <w:r w:rsidRPr="00AE38CA">
        <w:rPr>
          <w:lang w:bidi="en-GB"/>
        </w:rPr>
        <w:t xml:space="preserve"> be entitled to rent allowance.</w:t>
      </w:r>
      <w:r w:rsidR="00BA16F0" w:rsidRPr="00AE38CA">
        <w:rPr>
          <w:lang w:bidi="en-GB"/>
        </w:rPr>
        <w:t xml:space="preserve"> Even though these policies are in place, the housing market is causing serious </w:t>
      </w:r>
      <w:r w:rsidR="006C79F5" w:rsidRPr="00AE38CA">
        <w:rPr>
          <w:lang w:bidi="en-GB"/>
        </w:rPr>
        <w:t xml:space="preserve">issues in terms of availability of affordable housing. </w:t>
      </w:r>
      <w:r w:rsidR="003F1AA0" w:rsidRPr="00AE38CA">
        <w:rPr>
          <w:lang w:bidi="en-GB"/>
        </w:rPr>
        <w:t xml:space="preserve">This results in long waiting lists for social housing. </w:t>
      </w:r>
    </w:p>
    <w:p w14:paraId="24A68B1E" w14:textId="09684A39" w:rsidR="00ED0D56" w:rsidRPr="00AE38CA" w:rsidRDefault="00F73700" w:rsidP="00F73700">
      <w:pPr>
        <w:pStyle w:val="Plattetekst"/>
        <w:rPr>
          <w:lang w:bidi="en-GB"/>
        </w:rPr>
      </w:pPr>
      <w:r w:rsidRPr="00AE38CA">
        <w:rPr>
          <w:lang w:bidi="en-GB"/>
        </w:rPr>
        <w:t xml:space="preserve">The Dutch main policies focused on housing leads to a </w:t>
      </w:r>
      <w:r w:rsidRPr="00AE38CA">
        <w:rPr>
          <w:b/>
          <w:lang w:bidi="en-GB"/>
        </w:rPr>
        <w:t>moderate security</w:t>
      </w:r>
      <w:r w:rsidRPr="00AE38CA">
        <w:rPr>
          <w:lang w:bidi="en-GB"/>
        </w:rPr>
        <w:t xml:space="preserve"> of ensuring access to decent housing</w:t>
      </w:r>
      <w:r w:rsidR="00A34883" w:rsidRPr="00AE38CA">
        <w:rPr>
          <w:lang w:bidi="en-GB"/>
        </w:rPr>
        <w:t xml:space="preserve"> for </w:t>
      </w:r>
      <w:r w:rsidR="00776C0F" w:rsidRPr="00AE38CA">
        <w:rPr>
          <w:lang w:bidi="en-GB"/>
        </w:rPr>
        <w:t>the TGs</w:t>
      </w:r>
      <w:r w:rsidRPr="00AE38CA">
        <w:rPr>
          <w:lang w:bidi="en-GB"/>
        </w:rPr>
        <w:t xml:space="preserve">. </w:t>
      </w:r>
      <w:r w:rsidR="00FD0035" w:rsidRPr="00AE38CA">
        <w:rPr>
          <w:lang w:bidi="en-GB"/>
        </w:rPr>
        <w:t>By this, we mean that c</w:t>
      </w:r>
      <w:r w:rsidR="00ED0D56" w:rsidRPr="00AE38CA">
        <w:rPr>
          <w:lang w:bidi="en-GB"/>
        </w:rPr>
        <w:t xml:space="preserve">hildren are </w:t>
      </w:r>
      <w:r w:rsidR="00B97583" w:rsidRPr="00AE38CA">
        <w:rPr>
          <w:lang w:bidi="en-GB"/>
        </w:rPr>
        <w:t xml:space="preserve">neither </w:t>
      </w:r>
      <w:r w:rsidR="00ED0D56" w:rsidRPr="00AE38CA">
        <w:rPr>
          <w:lang w:bidi="en-GB"/>
        </w:rPr>
        <w:t>left to their own devices</w:t>
      </w:r>
      <w:r w:rsidR="00FD0035" w:rsidRPr="00AE38CA">
        <w:rPr>
          <w:lang w:bidi="en-GB"/>
        </w:rPr>
        <w:t xml:space="preserve">, </w:t>
      </w:r>
      <w:r w:rsidR="00B97583" w:rsidRPr="00AE38CA">
        <w:rPr>
          <w:lang w:bidi="en-GB"/>
        </w:rPr>
        <w:t>nor are they</w:t>
      </w:r>
      <w:r w:rsidR="00A34883" w:rsidRPr="00AE38CA">
        <w:rPr>
          <w:lang w:bidi="en-GB"/>
        </w:rPr>
        <w:t xml:space="preserve"> specific target group</w:t>
      </w:r>
      <w:r w:rsidR="00B97583" w:rsidRPr="00AE38CA">
        <w:rPr>
          <w:lang w:bidi="en-GB"/>
        </w:rPr>
        <w:t>s</w:t>
      </w:r>
      <w:r w:rsidR="00A34883" w:rsidRPr="00AE38CA">
        <w:rPr>
          <w:lang w:bidi="en-GB"/>
        </w:rPr>
        <w:t xml:space="preserve"> in housing policies. </w:t>
      </w:r>
      <w:r w:rsidR="00083037" w:rsidRPr="00AE38CA">
        <w:rPr>
          <w:lang w:bidi="en-GB"/>
        </w:rPr>
        <w:t>Housing policies are aimed at adults. Som</w:t>
      </w:r>
      <w:r w:rsidR="00ED0D56" w:rsidRPr="00AE38CA">
        <w:rPr>
          <w:lang w:bidi="en-GB"/>
        </w:rPr>
        <w:t>etimes, this results in children being the victim of their parent’s situation. In this sense</w:t>
      </w:r>
      <w:r w:rsidR="00A34883" w:rsidRPr="00AE38CA">
        <w:rPr>
          <w:lang w:bidi="en-GB"/>
        </w:rPr>
        <w:t xml:space="preserve">, </w:t>
      </w:r>
      <w:r w:rsidR="00083037" w:rsidRPr="00AE38CA">
        <w:rPr>
          <w:lang w:bidi="en-GB"/>
        </w:rPr>
        <w:t>policies</w:t>
      </w:r>
      <w:r w:rsidR="00A34883" w:rsidRPr="00AE38CA">
        <w:rPr>
          <w:lang w:bidi="en-GB"/>
        </w:rPr>
        <w:t xml:space="preserve"> are indirectly affecting children’s rights</w:t>
      </w:r>
      <w:r w:rsidR="00ED0D56" w:rsidRPr="00AE38CA">
        <w:rPr>
          <w:lang w:bidi="en-GB"/>
        </w:rPr>
        <w:t xml:space="preserve">. </w:t>
      </w:r>
      <w:r w:rsidR="00FA11BD" w:rsidRPr="00AE38CA">
        <w:rPr>
          <w:lang w:bidi="en-GB"/>
        </w:rPr>
        <w:t xml:space="preserve">The </w:t>
      </w:r>
      <w:r w:rsidR="00E62741" w:rsidRPr="00AE38CA">
        <w:rPr>
          <w:lang w:bidi="en-GB"/>
        </w:rPr>
        <w:t>TGs</w:t>
      </w:r>
      <w:r w:rsidR="0078460B" w:rsidRPr="00AE38CA">
        <w:rPr>
          <w:lang w:bidi="en-GB"/>
        </w:rPr>
        <w:t>’</w:t>
      </w:r>
      <w:r w:rsidR="00E62741" w:rsidRPr="00AE38CA">
        <w:rPr>
          <w:lang w:bidi="en-GB"/>
        </w:rPr>
        <w:t xml:space="preserve"> </w:t>
      </w:r>
      <w:r w:rsidR="00FA11BD" w:rsidRPr="00AE38CA">
        <w:rPr>
          <w:lang w:bidi="en-GB"/>
        </w:rPr>
        <w:t xml:space="preserve">limited access to </w:t>
      </w:r>
      <w:r w:rsidR="00FC73FD" w:rsidRPr="00AE38CA">
        <w:rPr>
          <w:lang w:bidi="en-GB"/>
        </w:rPr>
        <w:t xml:space="preserve">decent housing </w:t>
      </w:r>
      <w:r w:rsidR="00CC5919" w:rsidRPr="00AE38CA">
        <w:rPr>
          <w:lang w:bidi="en-GB"/>
        </w:rPr>
        <w:t xml:space="preserve">shows from the </w:t>
      </w:r>
      <w:r w:rsidR="0096735D" w:rsidRPr="00AE38CA">
        <w:rPr>
          <w:lang w:bidi="en-GB"/>
        </w:rPr>
        <w:t>disproportional</w:t>
      </w:r>
      <w:r w:rsidR="00822BD0" w:rsidRPr="00AE38CA">
        <w:rPr>
          <w:lang w:bidi="en-GB"/>
        </w:rPr>
        <w:t xml:space="preserve"> </w:t>
      </w:r>
      <w:r w:rsidR="00E5758F" w:rsidRPr="00AE38CA">
        <w:rPr>
          <w:lang w:bidi="en-GB"/>
        </w:rPr>
        <w:t xml:space="preserve">number </w:t>
      </w:r>
      <w:r w:rsidR="00E6142B" w:rsidRPr="00AE38CA">
        <w:rPr>
          <w:lang w:bidi="en-GB"/>
        </w:rPr>
        <w:t xml:space="preserve">who suffer from an inadequately warm home </w:t>
      </w:r>
      <w:r w:rsidR="00895A08" w:rsidRPr="00AE38CA">
        <w:rPr>
          <w:lang w:bidi="en-GB"/>
        </w:rPr>
        <w:t>and</w:t>
      </w:r>
      <w:r w:rsidR="006F2A23" w:rsidRPr="00AE38CA">
        <w:rPr>
          <w:lang w:bidi="en-GB"/>
        </w:rPr>
        <w:t>/or</w:t>
      </w:r>
      <w:r w:rsidR="00895A08" w:rsidRPr="00AE38CA">
        <w:rPr>
          <w:lang w:bidi="en-GB"/>
        </w:rPr>
        <w:t xml:space="preserve"> </w:t>
      </w:r>
      <w:r w:rsidR="001D55D8" w:rsidRPr="00AE38CA">
        <w:rPr>
          <w:lang w:bidi="en-GB"/>
        </w:rPr>
        <w:t xml:space="preserve">housing cost overburden </w:t>
      </w:r>
      <w:r w:rsidR="009C1F50" w:rsidRPr="00AE38CA">
        <w:rPr>
          <w:lang w:bidi="en-GB"/>
        </w:rPr>
        <w:t>(Inception Report, 2018, p.54</w:t>
      </w:r>
      <w:r w:rsidR="002A3B5C" w:rsidRPr="00AE38CA">
        <w:rPr>
          <w:lang w:bidi="en-GB"/>
        </w:rPr>
        <w:t>-</w:t>
      </w:r>
      <w:r w:rsidR="00043DE4" w:rsidRPr="00AE38CA">
        <w:rPr>
          <w:lang w:bidi="en-GB"/>
        </w:rPr>
        <w:t>56)</w:t>
      </w:r>
      <w:r w:rsidR="003F73EA" w:rsidRPr="00AE38CA">
        <w:rPr>
          <w:lang w:bidi="en-GB"/>
        </w:rPr>
        <w:t xml:space="preserve">. </w:t>
      </w:r>
    </w:p>
    <w:p w14:paraId="21F869B7" w14:textId="42B74476" w:rsidR="00F73700" w:rsidRPr="00AE38CA" w:rsidRDefault="00F73700" w:rsidP="0021148B">
      <w:pPr>
        <w:pStyle w:val="Plattetekst"/>
        <w:tabs>
          <w:tab w:val="left" w:pos="284"/>
        </w:tabs>
        <w:rPr>
          <w:lang w:bidi="en-GB"/>
        </w:rPr>
      </w:pPr>
      <w:r w:rsidRPr="00AE38CA">
        <w:rPr>
          <w:b/>
          <w:lang w:bidi="en-GB"/>
        </w:rPr>
        <w:t>Availability</w:t>
      </w:r>
      <w:r w:rsidRPr="00AE38CA">
        <w:rPr>
          <w:lang w:bidi="en-GB"/>
        </w:rPr>
        <w:t xml:space="preserve">: The availability of housing in the Netherlands is problematic. The volume of available, affordable housing is low compared with the needs. As a result of a rising tension on the housing market, the regulations in place increasingly fall short in ensuring that vulnerable groups have access to housing. This problem is most urgent in the urban areas in the Netherlands. </w:t>
      </w:r>
    </w:p>
    <w:p w14:paraId="51FC63C0" w14:textId="0FAA1AEE" w:rsidR="00F73700" w:rsidRPr="00AE38CA" w:rsidRDefault="00F73700" w:rsidP="00F73700">
      <w:pPr>
        <w:pStyle w:val="Plattetekst"/>
        <w:rPr>
          <w:lang w:bidi="en-GB"/>
        </w:rPr>
      </w:pPr>
      <w:r w:rsidRPr="00AE38CA">
        <w:rPr>
          <w:lang w:bidi="en-GB"/>
        </w:rPr>
        <w:t xml:space="preserve">There are several policies in place to ensure that the housing available is of appropriate quality. For the homeless, essential shelter and facilities for health, security and nutrition (access to natural and common resources, safe drinking water, energy for cooking, heating and lighting, sanitation etc.) are available </w:t>
      </w:r>
      <w:r w:rsidR="00E82388" w:rsidRPr="00AE38CA">
        <w:rPr>
          <w:lang w:bidi="en-GB"/>
        </w:rPr>
        <w:t>at low costs</w:t>
      </w:r>
      <w:r w:rsidRPr="00AE38CA">
        <w:rPr>
          <w:lang w:bidi="en-GB"/>
        </w:rPr>
        <w:t>.</w:t>
      </w:r>
    </w:p>
    <w:p w14:paraId="5A8BA786" w14:textId="66AD72C3" w:rsidR="00F73700" w:rsidRPr="00AE38CA" w:rsidRDefault="00F73700" w:rsidP="0021148B">
      <w:pPr>
        <w:pStyle w:val="Plattetekst"/>
        <w:tabs>
          <w:tab w:val="left" w:pos="284"/>
        </w:tabs>
        <w:rPr>
          <w:lang w:bidi="en-GB"/>
        </w:rPr>
      </w:pPr>
      <w:r w:rsidRPr="00AE38CA">
        <w:rPr>
          <w:b/>
          <w:lang w:bidi="en-GB"/>
        </w:rPr>
        <w:t>Accessibility:</w:t>
      </w:r>
      <w:r w:rsidR="004254C8" w:rsidRPr="00AE38CA">
        <w:rPr>
          <w:lang w:bidi="en-GB"/>
        </w:rPr>
        <w:t xml:space="preserve"> </w:t>
      </w:r>
      <w:r w:rsidR="005A360E" w:rsidRPr="00AE38CA">
        <w:rPr>
          <w:lang w:bidi="en-GB"/>
        </w:rPr>
        <w:t>Target</w:t>
      </w:r>
      <w:r w:rsidR="009C6C3C" w:rsidRPr="00AE38CA">
        <w:rPr>
          <w:lang w:bidi="en-GB"/>
        </w:rPr>
        <w:t xml:space="preserve"> group</w:t>
      </w:r>
      <w:r w:rsidR="00940A29" w:rsidRPr="00AE38CA">
        <w:rPr>
          <w:lang w:bidi="en-GB"/>
        </w:rPr>
        <w:t xml:space="preserve">s such as </w:t>
      </w:r>
      <w:r w:rsidR="005A492E" w:rsidRPr="00AE38CA">
        <w:rPr>
          <w:lang w:bidi="en-GB"/>
        </w:rPr>
        <w:t>immigrants with a residence</w:t>
      </w:r>
      <w:r w:rsidR="005A360E" w:rsidRPr="00AE38CA">
        <w:rPr>
          <w:lang w:bidi="en-GB"/>
        </w:rPr>
        <w:t xml:space="preserve"> permit</w:t>
      </w:r>
      <w:r w:rsidR="00940A29" w:rsidRPr="00AE38CA">
        <w:rPr>
          <w:lang w:bidi="en-GB"/>
        </w:rPr>
        <w:t xml:space="preserve"> </w:t>
      </w:r>
      <w:r w:rsidR="00495F09" w:rsidRPr="00AE38CA">
        <w:rPr>
          <w:lang w:bidi="en-GB"/>
        </w:rPr>
        <w:t xml:space="preserve">or people who are evicted </w:t>
      </w:r>
      <w:r w:rsidR="00C03468" w:rsidRPr="00AE38CA">
        <w:rPr>
          <w:lang w:bidi="en-GB"/>
        </w:rPr>
        <w:t xml:space="preserve">as a result of calamity </w:t>
      </w:r>
      <w:r w:rsidR="00940A29" w:rsidRPr="00AE38CA">
        <w:rPr>
          <w:lang w:bidi="en-GB"/>
        </w:rPr>
        <w:t>can</w:t>
      </w:r>
      <w:r w:rsidR="009C6C3C" w:rsidRPr="00AE38CA">
        <w:rPr>
          <w:lang w:bidi="en-GB"/>
        </w:rPr>
        <w:t xml:space="preserve"> apply for </w:t>
      </w:r>
      <w:r w:rsidR="00940A29" w:rsidRPr="00AE38CA">
        <w:rPr>
          <w:lang w:bidi="en-GB"/>
        </w:rPr>
        <w:t xml:space="preserve">a </w:t>
      </w:r>
      <w:r w:rsidR="00186528" w:rsidRPr="00AE38CA">
        <w:rPr>
          <w:lang w:bidi="en-GB"/>
        </w:rPr>
        <w:t>certificate</w:t>
      </w:r>
      <w:r w:rsidR="009C6C3C" w:rsidRPr="00AE38CA">
        <w:rPr>
          <w:lang w:bidi="en-GB"/>
        </w:rPr>
        <w:t xml:space="preserve"> of urgency</w:t>
      </w:r>
      <w:r w:rsidR="00AA19DE" w:rsidRPr="00AE38CA">
        <w:rPr>
          <w:lang w:bidi="en-GB"/>
        </w:rPr>
        <w:t xml:space="preserve"> </w:t>
      </w:r>
      <w:r w:rsidR="00495F09" w:rsidRPr="00AE38CA">
        <w:rPr>
          <w:lang w:bidi="en-GB"/>
        </w:rPr>
        <w:t>for social housing</w:t>
      </w:r>
      <w:r w:rsidR="009C6C3C" w:rsidRPr="00AE38CA">
        <w:rPr>
          <w:lang w:bidi="en-GB"/>
        </w:rPr>
        <w:t>.</w:t>
      </w:r>
      <w:r w:rsidR="00940A29" w:rsidRPr="00AE38CA">
        <w:rPr>
          <w:lang w:bidi="en-GB"/>
        </w:rPr>
        <w:t xml:space="preserve"> </w:t>
      </w:r>
      <w:r w:rsidR="00223043" w:rsidRPr="00AE38CA">
        <w:rPr>
          <w:lang w:bidi="en-GB"/>
        </w:rPr>
        <w:t>Other groups end up on waiting lists</w:t>
      </w:r>
      <w:r w:rsidR="008A12D6" w:rsidRPr="00AE38CA">
        <w:rPr>
          <w:lang w:bidi="en-GB"/>
        </w:rPr>
        <w:t xml:space="preserve">. </w:t>
      </w:r>
      <w:r w:rsidR="00495F09" w:rsidRPr="00AE38CA">
        <w:rPr>
          <w:lang w:bidi="en-GB"/>
        </w:rPr>
        <w:t xml:space="preserve">People without a residence permit cannot apply for housing. </w:t>
      </w:r>
    </w:p>
    <w:p w14:paraId="3AA6934D" w14:textId="758D21AD" w:rsidR="00F73700" w:rsidRPr="00AE38CA" w:rsidRDefault="00F73700" w:rsidP="0021148B">
      <w:pPr>
        <w:pStyle w:val="Plattetekst"/>
        <w:tabs>
          <w:tab w:val="left" w:pos="284"/>
        </w:tabs>
        <w:rPr>
          <w:b/>
          <w:lang w:bidi="en-GB"/>
        </w:rPr>
      </w:pPr>
      <w:r w:rsidRPr="00AE38CA">
        <w:rPr>
          <w:b/>
          <w:lang w:bidi="en-GB"/>
        </w:rPr>
        <w:t>Affordability</w:t>
      </w:r>
      <w:r w:rsidR="003125C0" w:rsidRPr="00AE38CA">
        <w:rPr>
          <w:b/>
          <w:lang w:bidi="en-GB"/>
        </w:rPr>
        <w:t>:</w:t>
      </w:r>
      <w:r w:rsidRPr="00AE38CA">
        <w:rPr>
          <w:b/>
          <w:lang w:bidi="en-GB"/>
        </w:rPr>
        <w:t xml:space="preserve"> </w:t>
      </w:r>
      <w:r w:rsidR="003125C0" w:rsidRPr="00AE38CA">
        <w:rPr>
          <w:lang w:bidi="en-GB"/>
        </w:rPr>
        <w:t>Affordability</w:t>
      </w:r>
      <w:r w:rsidR="003125C0" w:rsidRPr="00AE38CA">
        <w:rPr>
          <w:b/>
          <w:lang w:bidi="en-GB"/>
        </w:rPr>
        <w:t xml:space="preserve"> </w:t>
      </w:r>
      <w:r w:rsidRPr="00AE38CA">
        <w:rPr>
          <w:lang w:bidi="en-GB"/>
        </w:rPr>
        <w:t>has declined since 2010. The proportion of income spent on housing costs has increased, specifically for low-income households. At EU level, housing is deemed to be unaffordable when housing costs represent more than 40% of the household disposable income. In the Netherlands, this percentage is 47.8%</w:t>
      </w:r>
      <w:r w:rsidR="00E60004" w:rsidRPr="00AE38CA">
        <w:rPr>
          <w:lang w:bidi="en-GB"/>
        </w:rPr>
        <w:t xml:space="preserve"> for low</w:t>
      </w:r>
      <w:r w:rsidR="003125C0" w:rsidRPr="00AE38CA">
        <w:rPr>
          <w:lang w:bidi="en-GB"/>
        </w:rPr>
        <w:t>-</w:t>
      </w:r>
      <w:r w:rsidR="00E60004" w:rsidRPr="00AE38CA">
        <w:rPr>
          <w:lang w:bidi="en-GB"/>
        </w:rPr>
        <w:t>income households</w:t>
      </w:r>
      <w:r w:rsidRPr="00AE38CA">
        <w:rPr>
          <w:lang w:bidi="en-GB"/>
        </w:rPr>
        <w:t xml:space="preserve">. </w:t>
      </w:r>
    </w:p>
    <w:p w14:paraId="236DBFB9" w14:textId="5A47F528" w:rsidR="00F73700" w:rsidRPr="00AE38CA" w:rsidRDefault="00F73700" w:rsidP="0021148B">
      <w:pPr>
        <w:pStyle w:val="Plattetekst"/>
        <w:tabs>
          <w:tab w:val="left" w:pos="284"/>
        </w:tabs>
        <w:rPr>
          <w:lang w:bidi="en-GB"/>
        </w:rPr>
      </w:pPr>
      <w:r w:rsidRPr="00AE38CA">
        <w:rPr>
          <w:b/>
          <w:lang w:bidi="en-GB"/>
        </w:rPr>
        <w:t>Adaptability:</w:t>
      </w:r>
      <w:r w:rsidRPr="00AE38CA">
        <w:rPr>
          <w:lang w:bidi="en-GB"/>
        </w:rPr>
        <w:t xml:space="preserve"> Housing contract rules between landlords and tenants are the same throughout the country. However, local governments have a certain discretionary freedom in allocating social housing to vulnerable groups. This results in a grey area around how local </w:t>
      </w:r>
      <w:r w:rsidRPr="00AE38CA">
        <w:rPr>
          <w:lang w:bidi="en-GB"/>
        </w:rPr>
        <w:lastRenderedPageBreak/>
        <w:t xml:space="preserve">service providers implement measures and policies concerning shelter and care. In that respect, a child guarantee for specific TGs could help to ensure that all local authorities pay special attention to children receiving at least the minimum requirements related to decent housing for children, no matter in which municipality they apply for help. </w:t>
      </w:r>
    </w:p>
    <w:p w14:paraId="4460F260" w14:textId="0D3562BA" w:rsidR="00F73700" w:rsidRPr="00AE38CA" w:rsidRDefault="00F73700" w:rsidP="0021148B">
      <w:pPr>
        <w:pStyle w:val="Plattetekst"/>
        <w:tabs>
          <w:tab w:val="left" w:pos="284"/>
        </w:tabs>
        <w:rPr>
          <w:lang w:bidi="en-GB"/>
        </w:rPr>
      </w:pPr>
      <w:r w:rsidRPr="00AE38CA">
        <w:rPr>
          <w:b/>
          <w:lang w:bidi="en-GB"/>
        </w:rPr>
        <w:t>Acceptability:</w:t>
      </w:r>
      <w:r w:rsidRPr="00AE38CA">
        <w:rPr>
          <w:lang w:bidi="en-GB"/>
        </w:rPr>
        <w:t xml:space="preserve"> Acceptability is secured through the building code, in which minimum requirements to buildings in terms of safety, health, size, usability, sustainability and energy use are specified. New and existing buildings are inspected by the municipalities to ensure that the requirements are met.</w:t>
      </w:r>
    </w:p>
    <w:p w14:paraId="4E2126E2" w14:textId="2A6E2E01" w:rsidR="00164C22" w:rsidRPr="00AE38CA" w:rsidRDefault="00164C22" w:rsidP="00164C22">
      <w:pPr>
        <w:pStyle w:val="Kop2"/>
      </w:pPr>
      <w:r w:rsidRPr="00AE38CA">
        <w:t xml:space="preserve">Description and assessment of main policies in place and recommendations for improvements to ensure access to free early childhood education and care (ECEC) </w:t>
      </w:r>
    </w:p>
    <w:p w14:paraId="68DD8F28" w14:textId="77777777" w:rsidR="00164C22" w:rsidRPr="00AE38CA" w:rsidRDefault="00164C22" w:rsidP="00164C22">
      <w:pPr>
        <w:pStyle w:val="Plattetekst"/>
        <w:rPr>
          <w:b/>
          <w:lang w:bidi="en-GB"/>
        </w:rPr>
      </w:pPr>
      <w:r w:rsidRPr="00AE38CA">
        <w:rPr>
          <w:b/>
          <w:lang w:bidi="en-GB"/>
        </w:rPr>
        <w:t>Current national policies for a wide audience</w:t>
      </w:r>
    </w:p>
    <w:p w14:paraId="16C9D052" w14:textId="54D4718E" w:rsidR="00164C22" w:rsidRPr="00AE38CA" w:rsidRDefault="00164C22" w:rsidP="00164C22">
      <w:pPr>
        <w:pStyle w:val="Plattetekst"/>
      </w:pPr>
      <w:r w:rsidRPr="00AE38CA">
        <w:rPr>
          <w:lang w:bidi="en-GB"/>
        </w:rPr>
        <w:t>In general</w:t>
      </w:r>
      <w:r w:rsidR="00130D86" w:rsidRPr="00AE38CA">
        <w:rPr>
          <w:lang w:bidi="en-GB"/>
        </w:rPr>
        <w:t>,</w:t>
      </w:r>
      <w:r w:rsidRPr="00AE38CA">
        <w:rPr>
          <w:lang w:bidi="en-GB"/>
        </w:rPr>
        <w:t xml:space="preserve"> each child from the age of </w:t>
      </w:r>
      <w:r w:rsidR="00295248" w:rsidRPr="00AE38CA">
        <w:rPr>
          <w:lang w:bidi="en-GB"/>
        </w:rPr>
        <w:t>3 months up to 4 years old</w:t>
      </w:r>
      <w:r w:rsidRPr="00AE38CA">
        <w:rPr>
          <w:lang w:bidi="en-GB"/>
        </w:rPr>
        <w:t>, can go to day care</w:t>
      </w:r>
      <w:r w:rsidR="007E786D" w:rsidRPr="00AE38CA">
        <w:rPr>
          <w:lang w:bidi="en-GB"/>
        </w:rPr>
        <w:t xml:space="preserve">. </w:t>
      </w:r>
      <w:r w:rsidRPr="00AE38CA">
        <w:rPr>
          <w:lang w:bidi="en-GB"/>
        </w:rPr>
        <w:t>Day care is provided by privately</w:t>
      </w:r>
      <w:r w:rsidR="00A63B17" w:rsidRPr="00AE38CA">
        <w:rPr>
          <w:lang w:bidi="en-GB"/>
        </w:rPr>
        <w:t>-</w:t>
      </w:r>
      <w:r w:rsidRPr="00AE38CA">
        <w:rPr>
          <w:lang w:bidi="en-GB"/>
        </w:rPr>
        <w:t>owned organisations</w:t>
      </w:r>
      <w:r w:rsidR="007E786D" w:rsidRPr="00AE38CA">
        <w:rPr>
          <w:lang w:bidi="en-GB"/>
        </w:rPr>
        <w:t xml:space="preserve"> and is only a</w:t>
      </w:r>
      <w:r w:rsidR="00A63B17" w:rsidRPr="00AE38CA">
        <w:rPr>
          <w:lang w:bidi="en-GB"/>
        </w:rPr>
        <w:t>cc</w:t>
      </w:r>
      <w:r w:rsidR="007E786D" w:rsidRPr="00AE38CA">
        <w:rPr>
          <w:lang w:bidi="en-GB"/>
        </w:rPr>
        <w:t>ess</w:t>
      </w:r>
      <w:r w:rsidR="00557BF7" w:rsidRPr="00AE38CA">
        <w:rPr>
          <w:lang w:bidi="en-GB"/>
        </w:rPr>
        <w:t>i</w:t>
      </w:r>
      <w:r w:rsidR="007E786D" w:rsidRPr="00AE38CA">
        <w:rPr>
          <w:lang w:bidi="en-GB"/>
        </w:rPr>
        <w:t xml:space="preserve">ble via a financial contribution by the parents. </w:t>
      </w:r>
      <w:r w:rsidRPr="00AE38CA">
        <w:t xml:space="preserve">Working parents can </w:t>
      </w:r>
      <w:r w:rsidR="00F86453" w:rsidRPr="00AE38CA">
        <w:t>receive</w:t>
      </w:r>
      <w:r w:rsidRPr="00AE38CA">
        <w:t xml:space="preserve"> an income-related allowance for the costs of child care, which is provided by the (national) tax authorities. </w:t>
      </w:r>
      <w:r w:rsidR="005A7B1A" w:rsidRPr="00AE38CA">
        <w:t>Municipalities can</w:t>
      </w:r>
      <w:r w:rsidR="00996C35" w:rsidRPr="00AE38CA">
        <w:t xml:space="preserve"> provide</w:t>
      </w:r>
      <w:r w:rsidR="000C315E" w:rsidRPr="00AE38CA">
        <w:t xml:space="preserve"> subsidies</w:t>
      </w:r>
      <w:r w:rsidR="005A7B1A" w:rsidRPr="00AE38CA">
        <w:t xml:space="preserve"> to non-working parents of children aged </w:t>
      </w:r>
      <w:r w:rsidR="00092476" w:rsidRPr="00AE38CA">
        <w:t xml:space="preserve">2-4 </w:t>
      </w:r>
      <w:r w:rsidR="00996C35" w:rsidRPr="00AE38CA">
        <w:t xml:space="preserve">for </w:t>
      </w:r>
      <w:r w:rsidR="00DB6B73" w:rsidRPr="00AE38CA">
        <w:t>supporting them in</w:t>
      </w:r>
      <w:r w:rsidR="000C315E" w:rsidRPr="00AE38CA">
        <w:t xml:space="preserve"> accessing</w:t>
      </w:r>
      <w:r w:rsidR="00DB6B73" w:rsidRPr="00AE38CA">
        <w:t xml:space="preserve"> child care. </w:t>
      </w:r>
      <w:r w:rsidR="000C315E" w:rsidRPr="00AE38CA">
        <w:t>S</w:t>
      </w:r>
      <w:r w:rsidRPr="00AE38CA">
        <w:t xml:space="preserve">ubsidy rules may differ between municipalities. In most municipalities parents have to pay a parental, often income-related, contribution. </w:t>
      </w:r>
    </w:p>
    <w:p w14:paraId="574984A6" w14:textId="291B5ABF" w:rsidR="00164C22" w:rsidRPr="00AE38CA" w:rsidRDefault="00164C22" w:rsidP="00164C22">
      <w:pPr>
        <w:pStyle w:val="Plattetekst"/>
      </w:pPr>
      <w:r w:rsidRPr="00AE38CA">
        <w:t xml:space="preserve">Dutch municipalities are obliged to provide early childhood education </w:t>
      </w:r>
      <w:r w:rsidR="00DD3F0A" w:rsidRPr="00AE38CA">
        <w:t>to</w:t>
      </w:r>
      <w:r w:rsidRPr="00AE38CA">
        <w:t xml:space="preserve"> children aged </w:t>
      </w:r>
      <w:r w:rsidR="00287097" w:rsidRPr="00AE38CA">
        <w:br/>
      </w:r>
      <w:r w:rsidRPr="00AE38CA">
        <w:t>2.5</w:t>
      </w:r>
      <w:r w:rsidR="00287097" w:rsidRPr="00AE38CA">
        <w:t>-</w:t>
      </w:r>
      <w:r w:rsidRPr="00AE38CA">
        <w:t>4</w:t>
      </w:r>
      <w:r w:rsidR="00287097" w:rsidRPr="00AE38CA">
        <w:t>.</w:t>
      </w:r>
      <w:r w:rsidRPr="00AE38CA">
        <w:rPr>
          <w:rStyle w:val="Voetnootmarkering"/>
        </w:rPr>
        <w:footnoteReference w:id="13"/>
      </w:r>
      <w:r w:rsidR="00287097" w:rsidRPr="00AE38CA">
        <w:t xml:space="preserve"> </w:t>
      </w:r>
      <w:r w:rsidRPr="00AE38CA">
        <w:t>(</w:t>
      </w:r>
      <w:r w:rsidRPr="00AE38CA">
        <w:rPr>
          <w:i/>
        </w:rPr>
        <w:t>Voor- en Vroegschoolse Educatie, VVE</w:t>
      </w:r>
      <w:r w:rsidRPr="00AE38CA">
        <w:t>).</w:t>
      </w:r>
      <w:r w:rsidRPr="00AE38CA">
        <w:rPr>
          <w:rStyle w:val="Voetnootmarkering"/>
        </w:rPr>
        <w:footnoteReference w:id="14"/>
      </w:r>
      <w:r w:rsidRPr="00AE38CA">
        <w:t xml:space="preserve"> </w:t>
      </w:r>
      <w:r w:rsidR="00D76533" w:rsidRPr="00AE38CA">
        <w:t xml:space="preserve">VVE also targets </w:t>
      </w:r>
      <w:r w:rsidR="0099716F" w:rsidRPr="00AE38CA">
        <w:t>chi</w:t>
      </w:r>
      <w:r w:rsidRPr="00AE38CA">
        <w:t xml:space="preserve">ldren </w:t>
      </w:r>
      <w:r w:rsidR="009F3399" w:rsidRPr="00AE38CA">
        <w:t xml:space="preserve">aged </w:t>
      </w:r>
      <w:r w:rsidRPr="00AE38CA">
        <w:t>2.5</w:t>
      </w:r>
      <w:r w:rsidR="009F3399" w:rsidRPr="00AE38CA">
        <w:t>-</w:t>
      </w:r>
      <w:r w:rsidRPr="00AE38CA">
        <w:t>6</w:t>
      </w:r>
      <w:r w:rsidR="009F3399" w:rsidRPr="00AE38CA">
        <w:t>,</w:t>
      </w:r>
      <w:r w:rsidR="00261B06" w:rsidRPr="00AE38CA">
        <w:t xml:space="preserve"> </w:t>
      </w:r>
      <w:r w:rsidR="00641F81" w:rsidRPr="00AE38CA">
        <w:t xml:space="preserve">who are </w:t>
      </w:r>
      <w:r w:rsidRPr="00AE38CA">
        <w:t xml:space="preserve">at risk of developing educational disadvantages. VVE-groups for </w:t>
      </w:r>
      <w:r w:rsidR="00A17E92" w:rsidRPr="00AE38CA">
        <w:t xml:space="preserve">children aged </w:t>
      </w:r>
      <w:r w:rsidRPr="00AE38CA">
        <w:t>2.5-</w:t>
      </w:r>
      <w:r w:rsidR="00A17E92" w:rsidRPr="00AE38CA">
        <w:t xml:space="preserve">4 </w:t>
      </w:r>
      <w:r w:rsidRPr="00AE38CA">
        <w:t>are provided by day</w:t>
      </w:r>
      <w:r w:rsidR="003F233D" w:rsidRPr="00AE38CA">
        <w:t xml:space="preserve"> </w:t>
      </w:r>
      <w:r w:rsidRPr="00AE38CA">
        <w:t>care nurseries. A VVE-group works with a special VVE-programme, aimed at reducing language disadvantages and promoting the child’s socio-emotional, cognitive and motor development.</w:t>
      </w:r>
      <w:r w:rsidRPr="00AE38CA">
        <w:rPr>
          <w:rStyle w:val="Voetnootmarkering"/>
        </w:rPr>
        <w:footnoteReference w:id="15"/>
      </w:r>
      <w:r w:rsidRPr="00AE38CA">
        <w:t xml:space="preserve"> </w:t>
      </w:r>
    </w:p>
    <w:p w14:paraId="3A72AA40" w14:textId="73DDA0F1" w:rsidR="00164C22" w:rsidRPr="00AE38CA" w:rsidRDefault="00164C22" w:rsidP="00164C22">
      <w:pPr>
        <w:pStyle w:val="Plattetekst"/>
      </w:pPr>
      <w:r w:rsidRPr="00AE38CA">
        <w:t>The municipal authorities determine which children belong to the VVE</w:t>
      </w:r>
      <w:r w:rsidR="002D081E" w:rsidRPr="00AE38CA">
        <w:t>-</w:t>
      </w:r>
      <w:r w:rsidRPr="00AE38CA">
        <w:t>target group. The main indicator used is the parents’ (low) education level. Referral usually takes place via the baby and toddler clinic (</w:t>
      </w:r>
      <w:r w:rsidRPr="00AE38CA">
        <w:rPr>
          <w:i/>
        </w:rPr>
        <w:t>consultatiebureau</w:t>
      </w:r>
      <w:r w:rsidRPr="00AE38CA">
        <w:t>), using criteria that are set by the municipality.</w:t>
      </w:r>
    </w:p>
    <w:p w14:paraId="5BFA19D6" w14:textId="17CE9E78" w:rsidR="00164C22" w:rsidRPr="00AE38CA" w:rsidRDefault="00164C22" w:rsidP="00164C22">
      <w:pPr>
        <w:pStyle w:val="Plattetekst"/>
      </w:pPr>
      <w:r w:rsidRPr="00AE38CA">
        <w:t xml:space="preserve">Municipalities cannot </w:t>
      </w:r>
      <w:r w:rsidR="000457C6" w:rsidRPr="00AE38CA">
        <w:t xml:space="preserve">require </w:t>
      </w:r>
      <w:r w:rsidRPr="00AE38CA">
        <w:t xml:space="preserve">parents of target group children to enrol their children in a VVE-group. All parents are free to choose a provision for their children or to refrain from using any of the provisions. </w:t>
      </w:r>
    </w:p>
    <w:p w14:paraId="24BE169D" w14:textId="3C152295" w:rsidR="00164C22" w:rsidRPr="00AE38CA" w:rsidRDefault="00164C22" w:rsidP="00164C22">
      <w:pPr>
        <w:pStyle w:val="Plattetekst"/>
      </w:pPr>
      <w:r w:rsidRPr="00AE38CA">
        <w:t>It was calculated that 86</w:t>
      </w:r>
      <w:r w:rsidR="002D081E" w:rsidRPr="00AE38CA">
        <w:t xml:space="preserve">% </w:t>
      </w:r>
      <w:r w:rsidRPr="00AE38CA">
        <w:t xml:space="preserve">of the </w:t>
      </w:r>
      <w:r w:rsidR="002D081E" w:rsidRPr="00AE38CA">
        <w:t xml:space="preserve">children aged </w:t>
      </w:r>
      <w:r w:rsidRPr="00AE38CA">
        <w:t>2,5</w:t>
      </w:r>
      <w:r w:rsidR="002D081E" w:rsidRPr="00AE38CA">
        <w:t>-</w:t>
      </w:r>
      <w:r w:rsidRPr="00AE38CA">
        <w:t xml:space="preserve">4 </w:t>
      </w:r>
      <w:r w:rsidR="002414AD" w:rsidRPr="00AE38CA">
        <w:t>attended</w:t>
      </w:r>
      <w:r w:rsidRPr="00AE38CA">
        <w:t xml:space="preserve"> a child care facility</w:t>
      </w:r>
      <w:r w:rsidR="002D081E" w:rsidRPr="00AE38CA">
        <w:t xml:space="preserve"> in 2017</w:t>
      </w:r>
      <w:r w:rsidR="00D86756" w:rsidRPr="00AE38CA">
        <w:t xml:space="preserve"> (Buitenhek Management &amp; Consult, </w:t>
      </w:r>
      <w:r w:rsidR="008F7C13" w:rsidRPr="00AE38CA">
        <w:t>2017)</w:t>
      </w:r>
      <w:r w:rsidRPr="00AE38CA">
        <w:t xml:space="preserve">. </w:t>
      </w:r>
    </w:p>
    <w:p w14:paraId="72799EB7" w14:textId="77777777" w:rsidR="00164C22" w:rsidRPr="00AE38CA" w:rsidRDefault="00164C22" w:rsidP="00164C22">
      <w:pPr>
        <w:pStyle w:val="Plattetekst"/>
        <w:rPr>
          <w:b/>
          <w:lang w:bidi="en-GB"/>
        </w:rPr>
      </w:pPr>
      <w:bookmarkStart w:id="11" w:name="_Hlk536537007"/>
      <w:r w:rsidRPr="00AE38CA">
        <w:rPr>
          <w:b/>
          <w:lang w:bidi="en-GB"/>
        </w:rPr>
        <w:t>Measures for specific target groups</w:t>
      </w:r>
    </w:p>
    <w:p w14:paraId="4BE59634" w14:textId="77777777" w:rsidR="007C02C2" w:rsidRPr="00AE38CA" w:rsidRDefault="00164C22" w:rsidP="00023AD2">
      <w:pPr>
        <w:pStyle w:val="Plattetekst"/>
        <w:jc w:val="left"/>
        <w:rPr>
          <w:i/>
          <w:lang w:bidi="en-GB"/>
        </w:rPr>
      </w:pPr>
      <w:r w:rsidRPr="00AE38CA">
        <w:rPr>
          <w:i/>
          <w:lang w:bidi="en-GB"/>
        </w:rPr>
        <w:t xml:space="preserve">Children living in precarious family situations </w:t>
      </w:r>
      <w:bookmarkEnd w:id="11"/>
    </w:p>
    <w:p w14:paraId="18F3AE89" w14:textId="2EAB2D32" w:rsidR="007C4D09" w:rsidRPr="00AE38CA" w:rsidRDefault="00164C22" w:rsidP="00023AD2">
      <w:pPr>
        <w:pStyle w:val="Plattetekst"/>
        <w:jc w:val="left"/>
        <w:rPr>
          <w:lang w:bidi="en-GB"/>
        </w:rPr>
      </w:pPr>
      <w:r w:rsidRPr="00AE38CA">
        <w:rPr>
          <w:lang w:bidi="en-GB"/>
        </w:rPr>
        <w:t xml:space="preserve">The </w:t>
      </w:r>
      <w:r w:rsidR="00023AD2" w:rsidRPr="00AE38CA">
        <w:rPr>
          <w:lang w:bidi="en-GB"/>
        </w:rPr>
        <w:t>M</w:t>
      </w:r>
      <w:r w:rsidRPr="00AE38CA">
        <w:rPr>
          <w:lang w:bidi="en-GB"/>
        </w:rPr>
        <w:t xml:space="preserve">inistry of </w:t>
      </w:r>
      <w:r w:rsidR="00023AD2" w:rsidRPr="00AE38CA">
        <w:rPr>
          <w:lang w:bidi="en-GB"/>
        </w:rPr>
        <w:t>S</w:t>
      </w:r>
      <w:r w:rsidRPr="00AE38CA">
        <w:rPr>
          <w:lang w:bidi="en-GB"/>
        </w:rPr>
        <w:t xml:space="preserve">ocial </w:t>
      </w:r>
      <w:r w:rsidR="00F17C29" w:rsidRPr="00AE38CA">
        <w:rPr>
          <w:lang w:bidi="en-GB"/>
        </w:rPr>
        <w:t>A</w:t>
      </w:r>
      <w:r w:rsidRPr="00AE38CA">
        <w:rPr>
          <w:lang w:bidi="en-GB"/>
        </w:rPr>
        <w:t xml:space="preserve">ffairs and </w:t>
      </w:r>
      <w:r w:rsidR="00023AD2" w:rsidRPr="00AE38CA">
        <w:rPr>
          <w:lang w:bidi="en-GB"/>
        </w:rPr>
        <w:t>E</w:t>
      </w:r>
      <w:r w:rsidRPr="00AE38CA">
        <w:rPr>
          <w:lang w:bidi="en-GB"/>
        </w:rPr>
        <w:t xml:space="preserve">mployment </w:t>
      </w:r>
      <w:r w:rsidR="002414AD" w:rsidRPr="00AE38CA">
        <w:rPr>
          <w:lang w:bidi="en-GB"/>
        </w:rPr>
        <w:t xml:space="preserve">(SZW) </w:t>
      </w:r>
      <w:r w:rsidRPr="00AE38CA">
        <w:rPr>
          <w:lang w:bidi="en-GB"/>
        </w:rPr>
        <w:t>encourages municipalities to create a so-called SMI (</w:t>
      </w:r>
      <w:r w:rsidR="00EC394C" w:rsidRPr="00AE38CA">
        <w:rPr>
          <w:lang w:bidi="en-GB"/>
        </w:rPr>
        <w:t>Social</w:t>
      </w:r>
      <w:r w:rsidRPr="00AE38CA">
        <w:rPr>
          <w:lang w:bidi="en-GB"/>
        </w:rPr>
        <w:t xml:space="preserve"> Medi</w:t>
      </w:r>
      <w:r w:rsidR="00EC394C" w:rsidRPr="00AE38CA">
        <w:rPr>
          <w:lang w:bidi="en-GB"/>
        </w:rPr>
        <w:t xml:space="preserve">cal </w:t>
      </w:r>
      <w:r w:rsidRPr="00AE38CA">
        <w:rPr>
          <w:lang w:bidi="en-GB"/>
        </w:rPr>
        <w:t>Indicati</w:t>
      </w:r>
      <w:r w:rsidR="00EC394C" w:rsidRPr="00AE38CA">
        <w:rPr>
          <w:lang w:bidi="en-GB"/>
        </w:rPr>
        <w:t>on</w:t>
      </w:r>
      <w:r w:rsidRPr="00AE38CA">
        <w:rPr>
          <w:lang w:bidi="en-GB"/>
        </w:rPr>
        <w:t>) arrangement. Such an arrangement should enable children living in precarious famil</w:t>
      </w:r>
      <w:r w:rsidR="00906084" w:rsidRPr="00AE38CA">
        <w:rPr>
          <w:lang w:bidi="en-GB"/>
        </w:rPr>
        <w:t xml:space="preserve">y </w:t>
      </w:r>
      <w:r w:rsidRPr="00AE38CA">
        <w:rPr>
          <w:lang w:bidi="en-GB"/>
        </w:rPr>
        <w:t xml:space="preserve">situations to go to day care by </w:t>
      </w:r>
      <w:r w:rsidR="00835F1C" w:rsidRPr="00AE38CA">
        <w:rPr>
          <w:lang w:bidi="en-GB"/>
        </w:rPr>
        <w:t xml:space="preserve">fully </w:t>
      </w:r>
      <w:r w:rsidRPr="00AE38CA">
        <w:rPr>
          <w:lang w:bidi="en-GB"/>
        </w:rPr>
        <w:t>subsidi</w:t>
      </w:r>
      <w:r w:rsidR="002414AD" w:rsidRPr="00AE38CA">
        <w:rPr>
          <w:lang w:bidi="en-GB"/>
        </w:rPr>
        <w:t>s</w:t>
      </w:r>
      <w:r w:rsidRPr="00AE38CA">
        <w:rPr>
          <w:lang w:bidi="en-GB"/>
        </w:rPr>
        <w:t xml:space="preserve">ing </w:t>
      </w:r>
      <w:r w:rsidR="00576330" w:rsidRPr="00AE38CA">
        <w:rPr>
          <w:lang w:bidi="en-GB"/>
        </w:rPr>
        <w:t xml:space="preserve">the </w:t>
      </w:r>
      <w:r w:rsidR="00835F1C" w:rsidRPr="00AE38CA">
        <w:rPr>
          <w:lang w:bidi="en-GB"/>
        </w:rPr>
        <w:t>associated</w:t>
      </w:r>
      <w:r w:rsidRPr="00AE38CA">
        <w:rPr>
          <w:lang w:bidi="en-GB"/>
        </w:rPr>
        <w:t xml:space="preserve"> costs for day care. Two kinds of precarious family situations are distinguished:</w:t>
      </w:r>
    </w:p>
    <w:p w14:paraId="2857EF5A" w14:textId="2DE3678C" w:rsidR="00724943" w:rsidRPr="00AE38CA" w:rsidRDefault="00B910B2" w:rsidP="001965B0">
      <w:pPr>
        <w:pStyle w:val="Plattetekst"/>
        <w:numPr>
          <w:ilvl w:val="0"/>
          <w:numId w:val="33"/>
        </w:numPr>
        <w:ind w:left="284" w:hanging="284"/>
        <w:jc w:val="left"/>
        <w:rPr>
          <w:lang w:bidi="en-GB"/>
        </w:rPr>
      </w:pPr>
      <w:r w:rsidRPr="00AE38CA">
        <w:rPr>
          <w:lang w:bidi="en-GB"/>
        </w:rPr>
        <w:t>When parents</w:t>
      </w:r>
      <w:r w:rsidR="00A034A5" w:rsidRPr="00AE38CA">
        <w:rPr>
          <w:lang w:bidi="en-GB"/>
        </w:rPr>
        <w:t xml:space="preserve"> experienc</w:t>
      </w:r>
      <w:r w:rsidR="00CC098F" w:rsidRPr="00AE38CA">
        <w:rPr>
          <w:lang w:bidi="en-GB"/>
        </w:rPr>
        <w:t>e</w:t>
      </w:r>
      <w:r w:rsidR="00A034A5" w:rsidRPr="00AE38CA">
        <w:rPr>
          <w:lang w:bidi="en-GB"/>
        </w:rPr>
        <w:t xml:space="preserve"> </w:t>
      </w:r>
      <w:r w:rsidR="00792944" w:rsidRPr="00AE38CA">
        <w:rPr>
          <w:lang w:bidi="en-GB"/>
        </w:rPr>
        <w:t xml:space="preserve">obstacles </w:t>
      </w:r>
      <w:r w:rsidR="00E73355" w:rsidRPr="00AE38CA">
        <w:rPr>
          <w:lang w:bidi="en-GB"/>
        </w:rPr>
        <w:t xml:space="preserve">in fully </w:t>
      </w:r>
      <w:r w:rsidR="001710AC" w:rsidRPr="00AE38CA">
        <w:rPr>
          <w:lang w:bidi="en-GB"/>
        </w:rPr>
        <w:t>car</w:t>
      </w:r>
      <w:r w:rsidR="00E73355" w:rsidRPr="00AE38CA">
        <w:rPr>
          <w:lang w:bidi="en-GB"/>
        </w:rPr>
        <w:t>ing</w:t>
      </w:r>
      <w:r w:rsidR="00CC098F" w:rsidRPr="00AE38CA">
        <w:rPr>
          <w:lang w:bidi="en-GB"/>
        </w:rPr>
        <w:t xml:space="preserve"> </w:t>
      </w:r>
      <w:r w:rsidR="001710AC" w:rsidRPr="00AE38CA">
        <w:rPr>
          <w:lang w:bidi="en-GB"/>
        </w:rPr>
        <w:t>for their child(ren)</w:t>
      </w:r>
      <w:r w:rsidR="00CC098F" w:rsidRPr="00AE38CA">
        <w:rPr>
          <w:lang w:bidi="en-GB"/>
        </w:rPr>
        <w:t xml:space="preserve">, such as </w:t>
      </w:r>
      <w:r w:rsidR="00724943" w:rsidRPr="00AE38CA">
        <w:rPr>
          <w:lang w:bidi="en-GB"/>
        </w:rPr>
        <w:t xml:space="preserve">due to the parent’s health situation. </w:t>
      </w:r>
    </w:p>
    <w:p w14:paraId="52C4C357" w14:textId="5B83D9B0" w:rsidR="00337ED6" w:rsidRPr="00AE38CA" w:rsidRDefault="00797095" w:rsidP="001965B0">
      <w:pPr>
        <w:pStyle w:val="Plattetekst"/>
        <w:numPr>
          <w:ilvl w:val="0"/>
          <w:numId w:val="33"/>
        </w:numPr>
        <w:ind w:left="284" w:hanging="284"/>
        <w:jc w:val="left"/>
        <w:rPr>
          <w:lang w:bidi="en-GB"/>
        </w:rPr>
      </w:pPr>
      <w:r w:rsidRPr="00AE38CA">
        <w:rPr>
          <w:lang w:bidi="en-GB"/>
        </w:rPr>
        <w:lastRenderedPageBreak/>
        <w:t xml:space="preserve">When the development, health or well-being of the child is at </w:t>
      </w:r>
      <w:r w:rsidR="004E79CC" w:rsidRPr="00AE38CA">
        <w:rPr>
          <w:lang w:bidi="en-GB"/>
        </w:rPr>
        <w:t xml:space="preserve">risk </w:t>
      </w:r>
      <w:r w:rsidRPr="00AE38CA">
        <w:rPr>
          <w:lang w:bidi="en-GB"/>
        </w:rPr>
        <w:t xml:space="preserve">due to the </w:t>
      </w:r>
      <w:r w:rsidR="00340F9A" w:rsidRPr="00AE38CA">
        <w:rPr>
          <w:lang w:bidi="en-GB"/>
        </w:rPr>
        <w:t>parent</w:t>
      </w:r>
      <w:r w:rsidR="007A0B37" w:rsidRPr="00AE38CA">
        <w:rPr>
          <w:lang w:bidi="en-GB"/>
        </w:rPr>
        <w:t>s’</w:t>
      </w:r>
      <w:r w:rsidR="00340F9A" w:rsidRPr="00AE38CA">
        <w:rPr>
          <w:lang w:bidi="en-GB"/>
        </w:rPr>
        <w:t xml:space="preserve"> </w:t>
      </w:r>
      <w:r w:rsidRPr="00AE38CA">
        <w:rPr>
          <w:lang w:bidi="en-GB"/>
        </w:rPr>
        <w:t xml:space="preserve">situation, for instance </w:t>
      </w:r>
      <w:r w:rsidR="00340F9A" w:rsidRPr="00AE38CA">
        <w:rPr>
          <w:lang w:bidi="en-GB"/>
        </w:rPr>
        <w:t xml:space="preserve">due to substance abuse. </w:t>
      </w:r>
    </w:p>
    <w:p w14:paraId="3F2F75AF" w14:textId="551C53F9" w:rsidR="00C31DF3" w:rsidRPr="00AE38CA" w:rsidRDefault="00164C22" w:rsidP="00251A75">
      <w:pPr>
        <w:pStyle w:val="Plattetekst"/>
        <w:jc w:val="left"/>
        <w:rPr>
          <w:lang w:bidi="en-GB"/>
        </w:rPr>
      </w:pPr>
      <w:r w:rsidRPr="00AE38CA">
        <w:rPr>
          <w:lang w:bidi="en-GB"/>
        </w:rPr>
        <w:t>Most municipalities have such arrangement</w:t>
      </w:r>
      <w:r w:rsidR="004E79CC" w:rsidRPr="00AE38CA">
        <w:rPr>
          <w:lang w:bidi="en-GB"/>
        </w:rPr>
        <w:t>s</w:t>
      </w:r>
      <w:r w:rsidRPr="00AE38CA">
        <w:rPr>
          <w:lang w:bidi="en-GB"/>
        </w:rPr>
        <w:t xml:space="preserve"> and provide a subsidy for day care for children living in precarious family situations</w:t>
      </w:r>
      <w:r w:rsidR="008F7C13" w:rsidRPr="00AE38CA">
        <w:rPr>
          <w:lang w:bidi="en-GB"/>
        </w:rPr>
        <w:t xml:space="preserve"> (De Weerd et al., </w:t>
      </w:r>
      <w:r w:rsidR="00801B89" w:rsidRPr="00AE38CA">
        <w:rPr>
          <w:lang w:bidi="en-GB"/>
        </w:rPr>
        <w:t>2014)</w:t>
      </w:r>
      <w:r w:rsidRPr="00AE38CA">
        <w:rPr>
          <w:lang w:bidi="en-GB"/>
        </w:rPr>
        <w:t xml:space="preserve">. The </w:t>
      </w:r>
      <w:r w:rsidR="00F22BFB" w:rsidRPr="00AE38CA">
        <w:rPr>
          <w:lang w:bidi="en-GB"/>
        </w:rPr>
        <w:t xml:space="preserve">eligibility requirements for </w:t>
      </w:r>
      <w:r w:rsidR="00500D89" w:rsidRPr="00AE38CA">
        <w:rPr>
          <w:lang w:bidi="en-GB"/>
        </w:rPr>
        <w:t xml:space="preserve">accessing this financial support, as well as </w:t>
      </w:r>
      <w:r w:rsidR="00452BD3" w:rsidRPr="00AE38CA">
        <w:rPr>
          <w:lang w:bidi="en-GB"/>
        </w:rPr>
        <w:t xml:space="preserve">regulations </w:t>
      </w:r>
      <w:r w:rsidR="00465180" w:rsidRPr="00AE38CA">
        <w:rPr>
          <w:lang w:bidi="en-GB"/>
        </w:rPr>
        <w:t xml:space="preserve">as to </w:t>
      </w:r>
      <w:r w:rsidR="00251A75" w:rsidRPr="00AE38CA">
        <w:rPr>
          <w:lang w:bidi="en-GB"/>
        </w:rPr>
        <w:t>who</w:t>
      </w:r>
      <w:r w:rsidR="00452BD3" w:rsidRPr="00AE38CA">
        <w:rPr>
          <w:lang w:bidi="en-GB"/>
        </w:rPr>
        <w:t xml:space="preserve"> can apply (i.e. the parent or specific professionals) differ by </w:t>
      </w:r>
      <w:r w:rsidRPr="00AE38CA">
        <w:rPr>
          <w:lang w:bidi="en-GB"/>
        </w:rPr>
        <w:t xml:space="preserve">municipality. </w:t>
      </w:r>
      <w:r w:rsidR="00DC1F2C" w:rsidRPr="00AE38CA">
        <w:rPr>
          <w:lang w:bidi="en-GB"/>
        </w:rPr>
        <w:t xml:space="preserve">However, research </w:t>
      </w:r>
      <w:r w:rsidR="00D63D51" w:rsidRPr="00AE38CA">
        <w:rPr>
          <w:lang w:bidi="en-GB"/>
        </w:rPr>
        <w:t>shows</w:t>
      </w:r>
      <w:r w:rsidR="00DC1F2C" w:rsidRPr="00AE38CA">
        <w:rPr>
          <w:lang w:bidi="en-GB"/>
        </w:rPr>
        <w:t xml:space="preserve"> that </w:t>
      </w:r>
      <w:r w:rsidR="00464FDA" w:rsidRPr="00AE38CA">
        <w:rPr>
          <w:lang w:bidi="en-GB"/>
        </w:rPr>
        <w:t xml:space="preserve">in 2014 and 2016, </w:t>
      </w:r>
      <w:r w:rsidR="008F50F6" w:rsidRPr="00AE38CA">
        <w:rPr>
          <w:lang w:bidi="en-GB"/>
        </w:rPr>
        <w:t xml:space="preserve">full </w:t>
      </w:r>
      <w:r w:rsidR="00EC698A" w:rsidRPr="00AE38CA">
        <w:rPr>
          <w:lang w:bidi="en-GB"/>
        </w:rPr>
        <w:t xml:space="preserve">access </w:t>
      </w:r>
      <w:r w:rsidR="008F50F6" w:rsidRPr="00AE38CA">
        <w:rPr>
          <w:lang w:bidi="en-GB"/>
        </w:rPr>
        <w:t xml:space="preserve">to </w:t>
      </w:r>
      <w:r w:rsidR="00EC698A" w:rsidRPr="00AE38CA">
        <w:rPr>
          <w:lang w:bidi="en-GB"/>
        </w:rPr>
        <w:t xml:space="preserve">the SMI-arrangement </w:t>
      </w:r>
      <w:r w:rsidR="00465180" w:rsidRPr="00AE38CA">
        <w:rPr>
          <w:lang w:bidi="en-GB"/>
        </w:rPr>
        <w:t>wa</w:t>
      </w:r>
      <w:r w:rsidR="00EC698A" w:rsidRPr="00AE38CA">
        <w:rPr>
          <w:lang w:bidi="en-GB"/>
        </w:rPr>
        <w:t>s</w:t>
      </w:r>
      <w:r w:rsidR="00176A0D" w:rsidRPr="00AE38CA">
        <w:rPr>
          <w:lang w:bidi="en-GB"/>
        </w:rPr>
        <w:t xml:space="preserve"> only</w:t>
      </w:r>
      <w:r w:rsidR="00EC698A" w:rsidRPr="00AE38CA">
        <w:rPr>
          <w:lang w:bidi="en-GB"/>
        </w:rPr>
        <w:t xml:space="preserve"> limited</w:t>
      </w:r>
      <w:r w:rsidR="00176A0D" w:rsidRPr="00AE38CA">
        <w:rPr>
          <w:lang w:bidi="en-GB"/>
        </w:rPr>
        <w:t xml:space="preserve"> to low</w:t>
      </w:r>
      <w:r w:rsidR="0008517C" w:rsidRPr="00AE38CA">
        <w:rPr>
          <w:lang w:bidi="en-GB"/>
        </w:rPr>
        <w:t>-</w:t>
      </w:r>
      <w:r w:rsidR="00176A0D" w:rsidRPr="00AE38CA">
        <w:rPr>
          <w:lang w:bidi="en-GB"/>
        </w:rPr>
        <w:t>income households</w:t>
      </w:r>
      <w:r w:rsidR="00EC698A" w:rsidRPr="00AE38CA">
        <w:rPr>
          <w:lang w:bidi="en-GB"/>
        </w:rPr>
        <w:t xml:space="preserve"> due to an income </w:t>
      </w:r>
      <w:r w:rsidR="00145618" w:rsidRPr="00AE38CA">
        <w:rPr>
          <w:lang w:bidi="en-GB"/>
        </w:rPr>
        <w:t xml:space="preserve">threshold </w:t>
      </w:r>
      <w:r w:rsidR="008F50F6" w:rsidRPr="00AE38CA">
        <w:rPr>
          <w:lang w:bidi="en-GB"/>
        </w:rPr>
        <w:t xml:space="preserve">that </w:t>
      </w:r>
      <w:r w:rsidR="00145618" w:rsidRPr="00AE38CA">
        <w:rPr>
          <w:lang w:bidi="en-GB"/>
        </w:rPr>
        <w:t>local municipalities</w:t>
      </w:r>
      <w:r w:rsidR="008F50F6" w:rsidRPr="00AE38CA">
        <w:rPr>
          <w:lang w:bidi="en-GB"/>
        </w:rPr>
        <w:t xml:space="preserve"> apply</w:t>
      </w:r>
      <w:r w:rsidR="00176A0D" w:rsidRPr="00AE38CA">
        <w:rPr>
          <w:lang w:bidi="en-GB"/>
        </w:rPr>
        <w:t xml:space="preserve">. </w:t>
      </w:r>
      <w:r w:rsidR="00A805C7" w:rsidRPr="00AE38CA">
        <w:rPr>
          <w:lang w:bidi="en-GB"/>
        </w:rPr>
        <w:t xml:space="preserve">Moreover, </w:t>
      </w:r>
      <w:r w:rsidR="00A1638F" w:rsidRPr="00AE38CA">
        <w:rPr>
          <w:lang w:bidi="en-GB"/>
        </w:rPr>
        <w:t xml:space="preserve">low awareness of the arrangement among employers also prevented eligible </w:t>
      </w:r>
      <w:r w:rsidR="005074B8" w:rsidRPr="00AE38CA">
        <w:rPr>
          <w:lang w:bidi="en-GB"/>
        </w:rPr>
        <w:t xml:space="preserve">parents </w:t>
      </w:r>
      <w:r w:rsidR="00A1638F" w:rsidRPr="00AE38CA">
        <w:rPr>
          <w:lang w:bidi="en-GB"/>
        </w:rPr>
        <w:t xml:space="preserve">from fully </w:t>
      </w:r>
      <w:r w:rsidR="005074B8" w:rsidRPr="00AE38CA">
        <w:rPr>
          <w:lang w:bidi="en-GB"/>
        </w:rPr>
        <w:t>accessing the arrangement</w:t>
      </w:r>
      <w:r w:rsidR="00801B89" w:rsidRPr="00AE38CA">
        <w:rPr>
          <w:lang w:bidi="en-GB"/>
        </w:rPr>
        <w:t xml:space="preserve"> (de Lange et al., 2016).</w:t>
      </w:r>
      <w:r w:rsidR="005074B8" w:rsidRPr="00AE38CA">
        <w:rPr>
          <w:lang w:bidi="en-GB"/>
        </w:rPr>
        <w:t xml:space="preserve"> </w:t>
      </w:r>
      <w:r w:rsidR="00832757" w:rsidRPr="00AE38CA">
        <w:rPr>
          <w:lang w:bidi="en-GB"/>
        </w:rPr>
        <w:t>In 2016, t</w:t>
      </w:r>
      <w:r w:rsidR="00FD3CD2" w:rsidRPr="00AE38CA">
        <w:rPr>
          <w:lang w:bidi="en-GB"/>
        </w:rPr>
        <w:t xml:space="preserve">he Ministry of Social Affairs </w:t>
      </w:r>
      <w:r w:rsidR="0008517C" w:rsidRPr="00AE38CA">
        <w:rPr>
          <w:lang w:bidi="en-GB"/>
        </w:rPr>
        <w:t xml:space="preserve">and Employment </w:t>
      </w:r>
      <w:r w:rsidR="000A5F10" w:rsidRPr="00AE38CA">
        <w:rPr>
          <w:lang w:bidi="en-GB"/>
        </w:rPr>
        <w:t xml:space="preserve">(SZW) </w:t>
      </w:r>
      <w:r w:rsidR="00A822C5" w:rsidRPr="00AE38CA">
        <w:rPr>
          <w:lang w:bidi="en-GB"/>
        </w:rPr>
        <w:t xml:space="preserve">was </w:t>
      </w:r>
      <w:r w:rsidR="00832757" w:rsidRPr="00AE38CA">
        <w:rPr>
          <w:lang w:bidi="en-GB"/>
        </w:rPr>
        <w:t xml:space="preserve">committed to </w:t>
      </w:r>
      <w:r w:rsidR="0013773F" w:rsidRPr="00AE38CA">
        <w:rPr>
          <w:lang w:bidi="en-GB"/>
        </w:rPr>
        <w:t>increa</w:t>
      </w:r>
      <w:r w:rsidR="00A822C5" w:rsidRPr="00AE38CA">
        <w:rPr>
          <w:lang w:bidi="en-GB"/>
        </w:rPr>
        <w:t>s</w:t>
      </w:r>
      <w:r w:rsidR="007C02C2" w:rsidRPr="00AE38CA">
        <w:rPr>
          <w:lang w:bidi="en-GB"/>
        </w:rPr>
        <w:t>e</w:t>
      </w:r>
      <w:r w:rsidR="0013773F" w:rsidRPr="00AE38CA">
        <w:rPr>
          <w:lang w:bidi="en-GB"/>
        </w:rPr>
        <w:t xml:space="preserve"> awareness of the arrangement and to </w:t>
      </w:r>
      <w:r w:rsidR="005D127E" w:rsidRPr="00AE38CA">
        <w:rPr>
          <w:lang w:bidi="en-GB"/>
        </w:rPr>
        <w:t xml:space="preserve">encourage local municipalities </w:t>
      </w:r>
      <w:r w:rsidR="007C02C2" w:rsidRPr="00AE38CA">
        <w:rPr>
          <w:lang w:bidi="en-GB"/>
        </w:rPr>
        <w:t>that</w:t>
      </w:r>
      <w:r w:rsidR="00B26CAB" w:rsidRPr="00AE38CA">
        <w:rPr>
          <w:lang w:bidi="en-GB"/>
        </w:rPr>
        <w:t xml:space="preserve"> apply the income threshold to </w:t>
      </w:r>
      <w:r w:rsidR="007C02C2" w:rsidRPr="00AE38CA">
        <w:rPr>
          <w:lang w:bidi="en-GB"/>
        </w:rPr>
        <w:t>cease applying it</w:t>
      </w:r>
      <w:r w:rsidR="004610AA" w:rsidRPr="00AE38CA">
        <w:rPr>
          <w:lang w:bidi="en-GB"/>
        </w:rPr>
        <w:t xml:space="preserve"> (Asscher, 2016)</w:t>
      </w:r>
      <w:r w:rsidR="007C02C2" w:rsidRPr="00AE38CA">
        <w:rPr>
          <w:lang w:bidi="en-GB"/>
        </w:rPr>
        <w:t>.</w:t>
      </w:r>
    </w:p>
    <w:p w14:paraId="366DF5DB" w14:textId="62B57227" w:rsidR="007C02C2" w:rsidRPr="00AE38CA" w:rsidRDefault="00164C22" w:rsidP="00164C22">
      <w:pPr>
        <w:pStyle w:val="Plattetekst"/>
        <w:rPr>
          <w:lang w:bidi="en-GB"/>
        </w:rPr>
      </w:pPr>
      <w:r w:rsidRPr="00AE38CA">
        <w:rPr>
          <w:i/>
          <w:lang w:bidi="en-GB"/>
        </w:rPr>
        <w:t>Children of recent migrants and refugees have limited access to ECEC</w:t>
      </w:r>
    </w:p>
    <w:p w14:paraId="496C812E" w14:textId="43044908" w:rsidR="00164C22" w:rsidRPr="00AE38CA" w:rsidRDefault="00164C22" w:rsidP="00164C22">
      <w:pPr>
        <w:pStyle w:val="Plattetekst"/>
        <w:rPr>
          <w:lang w:bidi="en-GB"/>
        </w:rPr>
      </w:pPr>
      <w:r w:rsidRPr="00AE38CA">
        <w:rPr>
          <w:lang w:bidi="en-GB"/>
        </w:rPr>
        <w:t>As stated above, municipalities</w:t>
      </w:r>
      <w:r w:rsidRPr="00AE38CA">
        <w:t xml:space="preserve"> determine which children belong to </w:t>
      </w:r>
      <w:r w:rsidR="007C02C2" w:rsidRPr="00AE38CA">
        <w:t>which</w:t>
      </w:r>
      <w:r w:rsidRPr="00AE38CA">
        <w:t xml:space="preserve"> target group for </w:t>
      </w:r>
      <w:r w:rsidR="007C02C2" w:rsidRPr="00AE38CA">
        <w:t>e</w:t>
      </w:r>
      <w:r w:rsidRPr="00AE38CA">
        <w:t>arly childhood education.</w:t>
      </w:r>
      <w:r w:rsidRPr="00AE38CA">
        <w:rPr>
          <w:lang w:bidi="en-GB"/>
        </w:rPr>
        <w:t xml:space="preserve"> Only 35</w:t>
      </w:r>
      <w:r w:rsidR="00B534E1" w:rsidRPr="00AE38CA">
        <w:rPr>
          <w:lang w:bidi="en-GB"/>
        </w:rPr>
        <w:t xml:space="preserve">% </w:t>
      </w:r>
      <w:r w:rsidRPr="00AE38CA">
        <w:rPr>
          <w:lang w:bidi="en-GB"/>
        </w:rPr>
        <w:t>of the municipalities with an asylum location have ECEC available for these children</w:t>
      </w:r>
      <w:r w:rsidR="004129A3" w:rsidRPr="00AE38CA">
        <w:rPr>
          <w:rStyle w:val="Voetnootmarkering"/>
        </w:rPr>
        <w:t xml:space="preserve"> </w:t>
      </w:r>
      <w:r w:rsidR="004129A3" w:rsidRPr="00AE38CA">
        <w:t>(Muller &amp; Kolijn, 2016).</w:t>
      </w:r>
      <w:r w:rsidRPr="00AE38CA">
        <w:rPr>
          <w:lang w:bidi="en-GB"/>
        </w:rPr>
        <w:t xml:space="preserve"> </w:t>
      </w:r>
    </w:p>
    <w:p w14:paraId="2729E5DD" w14:textId="65FEBEB8" w:rsidR="007C02C2" w:rsidRPr="00AE38CA" w:rsidRDefault="00164C22" w:rsidP="00164C22">
      <w:pPr>
        <w:pStyle w:val="Plattetekst"/>
        <w:rPr>
          <w:i/>
          <w:lang w:bidi="en-GB"/>
        </w:rPr>
      </w:pPr>
      <w:r w:rsidRPr="00AE38CA">
        <w:rPr>
          <w:i/>
          <w:lang w:bidi="en-GB"/>
        </w:rPr>
        <w:t xml:space="preserve">Children with disabilities and other children with special needs </w:t>
      </w:r>
    </w:p>
    <w:p w14:paraId="0868A172" w14:textId="742D4993" w:rsidR="007C02C2" w:rsidRPr="00AE38CA" w:rsidRDefault="008473BE" w:rsidP="00164C22">
      <w:pPr>
        <w:pStyle w:val="Plattetekst"/>
        <w:rPr>
          <w:lang w:bidi="en-GB"/>
        </w:rPr>
      </w:pPr>
      <w:r w:rsidRPr="00AE38CA">
        <w:rPr>
          <w:lang w:bidi="en-GB"/>
        </w:rPr>
        <w:t xml:space="preserve">In the Netherlands, children with </w:t>
      </w:r>
      <w:r w:rsidR="00EC4934" w:rsidRPr="00AE38CA">
        <w:rPr>
          <w:lang w:bidi="en-GB"/>
        </w:rPr>
        <w:t xml:space="preserve">disabilities and </w:t>
      </w:r>
      <w:r w:rsidRPr="00AE38CA">
        <w:rPr>
          <w:lang w:bidi="en-GB"/>
        </w:rPr>
        <w:t xml:space="preserve">special needs </w:t>
      </w:r>
      <w:r w:rsidR="00EC4934" w:rsidRPr="00AE38CA">
        <w:rPr>
          <w:lang w:bidi="en-GB"/>
        </w:rPr>
        <w:t xml:space="preserve">can access day care support </w:t>
      </w:r>
      <w:r w:rsidR="00DE55E0" w:rsidRPr="00AE38CA">
        <w:rPr>
          <w:lang w:bidi="en-GB"/>
        </w:rPr>
        <w:t xml:space="preserve">which is primarily offered </w:t>
      </w:r>
      <w:r w:rsidR="00386A50" w:rsidRPr="00AE38CA">
        <w:rPr>
          <w:lang w:bidi="en-GB"/>
        </w:rPr>
        <w:t>through the health system. For instance, children with behavioural pro</w:t>
      </w:r>
      <w:r w:rsidR="00367A92" w:rsidRPr="00AE38CA">
        <w:rPr>
          <w:lang w:bidi="en-GB"/>
        </w:rPr>
        <w:t xml:space="preserve">blems can attend </w:t>
      </w:r>
      <w:r w:rsidRPr="00AE38CA">
        <w:rPr>
          <w:lang w:bidi="en-GB"/>
        </w:rPr>
        <w:t>afterschool care facilitie</w:t>
      </w:r>
      <w:r w:rsidR="00207854" w:rsidRPr="00AE38CA">
        <w:rPr>
          <w:lang w:bidi="en-GB"/>
        </w:rPr>
        <w:t>s</w:t>
      </w:r>
      <w:r w:rsidR="00367A92" w:rsidRPr="00AE38CA">
        <w:rPr>
          <w:lang w:bidi="en-GB"/>
        </w:rPr>
        <w:t xml:space="preserve"> to receive – in a group environment</w:t>
      </w:r>
      <w:r w:rsidR="00564121" w:rsidRPr="00AE38CA">
        <w:rPr>
          <w:lang w:bidi="en-GB"/>
        </w:rPr>
        <w:t xml:space="preserve"> – </w:t>
      </w:r>
      <w:r w:rsidR="00367A92" w:rsidRPr="00AE38CA">
        <w:rPr>
          <w:lang w:bidi="en-GB"/>
        </w:rPr>
        <w:t xml:space="preserve">support in </w:t>
      </w:r>
      <w:r w:rsidR="00676474" w:rsidRPr="00AE38CA">
        <w:rPr>
          <w:lang w:bidi="en-GB"/>
        </w:rPr>
        <w:t>strengthening the</w:t>
      </w:r>
      <w:r w:rsidR="00367A92" w:rsidRPr="00AE38CA">
        <w:rPr>
          <w:lang w:bidi="en-GB"/>
        </w:rPr>
        <w:t>ir</w:t>
      </w:r>
      <w:r w:rsidR="00676474" w:rsidRPr="00AE38CA">
        <w:rPr>
          <w:lang w:bidi="en-GB"/>
        </w:rPr>
        <w:t xml:space="preserve"> </w:t>
      </w:r>
      <w:r w:rsidRPr="00AE38CA">
        <w:rPr>
          <w:lang w:bidi="en-GB"/>
        </w:rPr>
        <w:t xml:space="preserve">social </w:t>
      </w:r>
      <w:r w:rsidR="00EE2BE2" w:rsidRPr="00AE38CA">
        <w:rPr>
          <w:lang w:bidi="en-GB"/>
        </w:rPr>
        <w:t>skills</w:t>
      </w:r>
      <w:r w:rsidR="00F64562" w:rsidRPr="00AE38CA">
        <w:rPr>
          <w:lang w:bidi="en-GB"/>
        </w:rPr>
        <w:t xml:space="preserve"> (VWS &amp; CAK, </w:t>
      </w:r>
      <w:r w:rsidR="00531D46" w:rsidRPr="00AE38CA">
        <w:rPr>
          <w:lang w:bidi="en-GB"/>
        </w:rPr>
        <w:t>n.d.)</w:t>
      </w:r>
      <w:r w:rsidR="00EE2BE2" w:rsidRPr="00AE38CA">
        <w:rPr>
          <w:lang w:bidi="en-GB"/>
        </w:rPr>
        <w:t xml:space="preserve">. </w:t>
      </w:r>
      <w:r w:rsidR="002C1043" w:rsidRPr="00AE38CA">
        <w:rPr>
          <w:lang w:bidi="en-GB"/>
        </w:rPr>
        <w:t xml:space="preserve">Children with </w:t>
      </w:r>
      <w:r w:rsidR="007C02C2" w:rsidRPr="00AE38CA">
        <w:rPr>
          <w:lang w:bidi="en-GB"/>
        </w:rPr>
        <w:t>disabilit</w:t>
      </w:r>
      <w:r w:rsidR="00F7603F" w:rsidRPr="00AE38CA">
        <w:rPr>
          <w:lang w:bidi="en-GB"/>
        </w:rPr>
        <w:t>ies</w:t>
      </w:r>
      <w:r w:rsidR="007C02C2" w:rsidRPr="00AE38CA">
        <w:rPr>
          <w:lang w:bidi="en-GB"/>
        </w:rPr>
        <w:t xml:space="preserve"> aged 0-7 can </w:t>
      </w:r>
      <w:r w:rsidR="002C1043" w:rsidRPr="00AE38CA">
        <w:rPr>
          <w:lang w:bidi="en-GB"/>
        </w:rPr>
        <w:t xml:space="preserve">also </w:t>
      </w:r>
      <w:r w:rsidR="007C02C2" w:rsidRPr="00AE38CA">
        <w:rPr>
          <w:lang w:bidi="en-GB"/>
        </w:rPr>
        <w:t xml:space="preserve">access medical child care facilities for </w:t>
      </w:r>
      <w:r w:rsidRPr="00AE38CA">
        <w:rPr>
          <w:lang w:bidi="en-GB"/>
        </w:rPr>
        <w:t xml:space="preserve">care support. A team of health professionals will assess the child’s needs to develop a care plan. Based on the plan, the child </w:t>
      </w:r>
      <w:r w:rsidR="001A15F4" w:rsidRPr="00AE38CA">
        <w:rPr>
          <w:lang w:bidi="en-GB"/>
        </w:rPr>
        <w:t xml:space="preserve">may </w:t>
      </w:r>
      <w:r w:rsidRPr="00AE38CA">
        <w:rPr>
          <w:lang w:bidi="en-GB"/>
        </w:rPr>
        <w:t>then attend the medical child care facility for receiving appropriate care and support</w:t>
      </w:r>
      <w:r w:rsidR="00531D46" w:rsidRPr="00AE38CA">
        <w:rPr>
          <w:lang w:bidi="en-GB"/>
        </w:rPr>
        <w:t xml:space="preserve"> </w:t>
      </w:r>
      <w:r w:rsidR="00F25862" w:rsidRPr="00AE38CA">
        <w:rPr>
          <w:lang w:bidi="en-GB"/>
        </w:rPr>
        <w:t>(ibi</w:t>
      </w:r>
      <w:r w:rsidR="00531D46" w:rsidRPr="00AE38CA">
        <w:rPr>
          <w:lang w:bidi="en-GB"/>
        </w:rPr>
        <w:t xml:space="preserve">d.). </w:t>
      </w:r>
    </w:p>
    <w:p w14:paraId="00EC617B" w14:textId="55D15D65" w:rsidR="00562109" w:rsidRPr="00AE38CA" w:rsidRDefault="00562109" w:rsidP="00562109">
      <w:pPr>
        <w:pStyle w:val="Plattetekst"/>
        <w:rPr>
          <w:b/>
          <w:lang w:bidi="en-GB"/>
        </w:rPr>
      </w:pPr>
      <w:r w:rsidRPr="00AE38CA">
        <w:rPr>
          <w:b/>
          <w:lang w:bidi="en-GB"/>
        </w:rPr>
        <w:t>Assessment and conclusions</w:t>
      </w:r>
    </w:p>
    <w:p w14:paraId="58FDFD36" w14:textId="32376644" w:rsidR="004C2C4D" w:rsidRPr="00AE38CA" w:rsidRDefault="00521C91" w:rsidP="00164C22">
      <w:pPr>
        <w:pStyle w:val="Plattetekst"/>
        <w:rPr>
          <w:color w:val="000000"/>
        </w:rPr>
      </w:pPr>
      <w:r w:rsidRPr="00AE38CA">
        <w:rPr>
          <w:b/>
          <w:color w:val="000000"/>
        </w:rPr>
        <w:t>A</w:t>
      </w:r>
      <w:r w:rsidR="00164C22" w:rsidRPr="00AE38CA">
        <w:rPr>
          <w:b/>
          <w:color w:val="000000"/>
        </w:rPr>
        <w:t>vailability</w:t>
      </w:r>
      <w:r w:rsidR="00AA7D6E" w:rsidRPr="00AE38CA">
        <w:rPr>
          <w:b/>
          <w:color w:val="000000"/>
        </w:rPr>
        <w:t xml:space="preserve">: </w:t>
      </w:r>
      <w:r w:rsidR="004C2C4D" w:rsidRPr="00AE38CA">
        <w:rPr>
          <w:color w:val="000000"/>
        </w:rPr>
        <w:t xml:space="preserve">In the Netherlands, </w:t>
      </w:r>
      <w:r w:rsidR="005672A8" w:rsidRPr="00AE38CA">
        <w:rPr>
          <w:color w:val="000000"/>
        </w:rPr>
        <w:t xml:space="preserve">the </w:t>
      </w:r>
      <w:r w:rsidR="004C2C4D" w:rsidRPr="00AE38CA">
        <w:rPr>
          <w:color w:val="000000"/>
        </w:rPr>
        <w:t xml:space="preserve">early childhood education care </w:t>
      </w:r>
      <w:r w:rsidR="005672A8" w:rsidRPr="00AE38CA">
        <w:rPr>
          <w:color w:val="000000"/>
        </w:rPr>
        <w:t xml:space="preserve">sector </w:t>
      </w:r>
      <w:r w:rsidR="00507B33" w:rsidRPr="00AE38CA">
        <w:rPr>
          <w:color w:val="000000"/>
        </w:rPr>
        <w:t>experiences shortages</w:t>
      </w:r>
      <w:r w:rsidR="008D039C" w:rsidRPr="00AE38CA">
        <w:rPr>
          <w:color w:val="000000"/>
        </w:rPr>
        <w:t xml:space="preserve"> in personnel</w:t>
      </w:r>
      <w:r w:rsidR="00507B33" w:rsidRPr="00AE38CA">
        <w:rPr>
          <w:color w:val="000000"/>
        </w:rPr>
        <w:t>.</w:t>
      </w:r>
      <w:r w:rsidR="00CB41E3" w:rsidRPr="00AE38CA">
        <w:rPr>
          <w:color w:val="000000"/>
        </w:rPr>
        <w:t xml:space="preserve"> As a result, </w:t>
      </w:r>
      <w:r w:rsidR="008D039C" w:rsidRPr="00AE38CA">
        <w:rPr>
          <w:color w:val="000000"/>
        </w:rPr>
        <w:t>children are often put on</w:t>
      </w:r>
      <w:r w:rsidR="003E1354" w:rsidRPr="00AE38CA">
        <w:rPr>
          <w:color w:val="000000"/>
        </w:rPr>
        <w:t xml:space="preserve"> waiting</w:t>
      </w:r>
      <w:r w:rsidR="00CB41E3" w:rsidRPr="00AE38CA">
        <w:rPr>
          <w:color w:val="000000"/>
        </w:rPr>
        <w:t xml:space="preserve"> </w:t>
      </w:r>
      <w:r w:rsidR="003E1354" w:rsidRPr="00AE38CA">
        <w:rPr>
          <w:color w:val="000000"/>
        </w:rPr>
        <w:t>list</w:t>
      </w:r>
      <w:r w:rsidR="00CB41E3" w:rsidRPr="00AE38CA">
        <w:rPr>
          <w:color w:val="000000"/>
        </w:rPr>
        <w:t xml:space="preserve"> to secure a spot</w:t>
      </w:r>
      <w:r w:rsidR="00E45902" w:rsidRPr="00AE38CA">
        <w:rPr>
          <w:color w:val="000000"/>
        </w:rPr>
        <w:t xml:space="preserve"> in a day</w:t>
      </w:r>
      <w:r w:rsidR="001B17F7" w:rsidRPr="00AE38CA">
        <w:rPr>
          <w:color w:val="000000"/>
        </w:rPr>
        <w:t xml:space="preserve"> </w:t>
      </w:r>
      <w:r w:rsidR="00E45902" w:rsidRPr="00AE38CA">
        <w:rPr>
          <w:color w:val="000000"/>
        </w:rPr>
        <w:t xml:space="preserve">care facility. </w:t>
      </w:r>
      <w:r w:rsidR="008825C7" w:rsidRPr="00AE38CA">
        <w:rPr>
          <w:color w:val="000000"/>
        </w:rPr>
        <w:t xml:space="preserve">Metropolitan areas often </w:t>
      </w:r>
      <w:r w:rsidR="00475597" w:rsidRPr="00AE38CA">
        <w:rPr>
          <w:color w:val="000000"/>
        </w:rPr>
        <w:t>experience long</w:t>
      </w:r>
      <w:r w:rsidR="00F01943" w:rsidRPr="00AE38CA">
        <w:rPr>
          <w:color w:val="000000"/>
        </w:rPr>
        <w:t>er</w:t>
      </w:r>
      <w:r w:rsidR="00475597" w:rsidRPr="00AE38CA">
        <w:rPr>
          <w:color w:val="000000"/>
        </w:rPr>
        <w:t xml:space="preserve"> waiting</w:t>
      </w:r>
      <w:r w:rsidR="00F01943" w:rsidRPr="00AE38CA">
        <w:rPr>
          <w:color w:val="000000"/>
        </w:rPr>
        <w:t xml:space="preserve"> </w:t>
      </w:r>
      <w:r w:rsidR="00475597" w:rsidRPr="00AE38CA">
        <w:rPr>
          <w:color w:val="000000"/>
        </w:rPr>
        <w:t>lists</w:t>
      </w:r>
      <w:r w:rsidR="00F01943" w:rsidRPr="00AE38CA">
        <w:rPr>
          <w:color w:val="000000"/>
        </w:rPr>
        <w:t xml:space="preserve"> than other areas</w:t>
      </w:r>
      <w:r w:rsidR="00475597" w:rsidRPr="00AE38CA">
        <w:rPr>
          <w:color w:val="000000"/>
        </w:rPr>
        <w:t>, while parents living in more regional areas may sometimes need to commu</w:t>
      </w:r>
      <w:r w:rsidR="00163B5B" w:rsidRPr="00AE38CA">
        <w:rPr>
          <w:color w:val="000000"/>
        </w:rPr>
        <w:t>te</w:t>
      </w:r>
      <w:r w:rsidR="00475597" w:rsidRPr="00AE38CA">
        <w:rPr>
          <w:color w:val="000000"/>
        </w:rPr>
        <w:t xml:space="preserve"> further to </w:t>
      </w:r>
      <w:r w:rsidR="00F01943" w:rsidRPr="00AE38CA">
        <w:rPr>
          <w:color w:val="000000"/>
        </w:rPr>
        <w:t xml:space="preserve">access </w:t>
      </w:r>
      <w:r w:rsidR="00B71915" w:rsidRPr="00AE38CA">
        <w:rPr>
          <w:color w:val="000000"/>
        </w:rPr>
        <w:t>ECEC</w:t>
      </w:r>
      <w:r w:rsidR="00F01943" w:rsidRPr="00AE38CA">
        <w:rPr>
          <w:color w:val="000000"/>
        </w:rPr>
        <w:t xml:space="preserve"> facilities. </w:t>
      </w:r>
      <w:r w:rsidR="005672A8" w:rsidRPr="00AE38CA">
        <w:rPr>
          <w:color w:val="000000"/>
        </w:rPr>
        <w:t xml:space="preserve">The local municipalities are required to provide access to </w:t>
      </w:r>
      <w:r w:rsidR="00B71915" w:rsidRPr="00AE38CA">
        <w:rPr>
          <w:color w:val="000000"/>
        </w:rPr>
        <w:t xml:space="preserve">ECEC </w:t>
      </w:r>
      <w:r w:rsidR="005672A8" w:rsidRPr="00AE38CA">
        <w:rPr>
          <w:color w:val="000000"/>
        </w:rPr>
        <w:t xml:space="preserve">facilities within their local area. </w:t>
      </w:r>
    </w:p>
    <w:p w14:paraId="04B3C0C8" w14:textId="45F753AF" w:rsidR="00AB5943" w:rsidRPr="00AE38CA" w:rsidRDefault="0019159A" w:rsidP="00164C22">
      <w:pPr>
        <w:pStyle w:val="Plattetekst"/>
      </w:pPr>
      <w:r w:rsidRPr="00AE38CA">
        <w:rPr>
          <w:b/>
          <w:color w:val="000000"/>
        </w:rPr>
        <w:t>Accessibility</w:t>
      </w:r>
      <w:r w:rsidR="00AB5943" w:rsidRPr="00AE38CA">
        <w:rPr>
          <w:b/>
          <w:color w:val="000000"/>
        </w:rPr>
        <w:t>:</w:t>
      </w:r>
      <w:r w:rsidR="00164C22" w:rsidRPr="00AE38CA">
        <w:rPr>
          <w:b/>
          <w:color w:val="2F5496"/>
        </w:rPr>
        <w:t xml:space="preserve"> </w:t>
      </w:r>
      <w:r w:rsidR="00AB5943" w:rsidRPr="00AE38CA">
        <w:t xml:space="preserve">Overall, all children residing in the Netherlands can access </w:t>
      </w:r>
      <w:r w:rsidR="00B71915" w:rsidRPr="00AE38CA">
        <w:t xml:space="preserve">ECEC </w:t>
      </w:r>
      <w:r w:rsidR="00AB5943" w:rsidRPr="00AE38CA">
        <w:t xml:space="preserve">facilities. </w:t>
      </w:r>
      <w:r w:rsidR="001A4951" w:rsidRPr="00AE38CA">
        <w:t>However, variations apply in how t</w:t>
      </w:r>
      <w:r w:rsidR="0040318B" w:rsidRPr="00AE38CA">
        <w:t>o</w:t>
      </w:r>
      <w:r w:rsidR="001A4951" w:rsidRPr="00AE38CA">
        <w:t xml:space="preserve"> access these facilities</w:t>
      </w:r>
      <w:r w:rsidR="00772A93" w:rsidRPr="00AE38CA">
        <w:t xml:space="preserve">, depending on the local municipality </w:t>
      </w:r>
      <w:r w:rsidR="00FB50BF" w:rsidRPr="00AE38CA">
        <w:t>the child</w:t>
      </w:r>
      <w:r w:rsidR="00772A93" w:rsidRPr="00AE38CA">
        <w:t xml:space="preserve"> reside</w:t>
      </w:r>
      <w:r w:rsidR="00FB50BF" w:rsidRPr="00AE38CA">
        <w:t>s</w:t>
      </w:r>
      <w:r w:rsidR="00772A93" w:rsidRPr="00AE38CA">
        <w:t xml:space="preserve">. </w:t>
      </w:r>
      <w:r w:rsidR="00C81928" w:rsidRPr="00AE38CA">
        <w:t xml:space="preserve">For example, </w:t>
      </w:r>
      <w:r w:rsidR="00CC2D3E" w:rsidRPr="00AE38CA">
        <w:t xml:space="preserve">some </w:t>
      </w:r>
      <w:r w:rsidR="00C81928" w:rsidRPr="00AE38CA">
        <w:t xml:space="preserve">local municipalities </w:t>
      </w:r>
      <w:r w:rsidR="00FB50BF" w:rsidRPr="00AE38CA">
        <w:t xml:space="preserve">define </w:t>
      </w:r>
      <w:r w:rsidR="00CC2D3E" w:rsidRPr="00AE38CA">
        <w:t>specific</w:t>
      </w:r>
      <w:r w:rsidR="00C81928" w:rsidRPr="00AE38CA">
        <w:t xml:space="preserve"> target groups</w:t>
      </w:r>
      <w:r w:rsidR="00CC2D3E" w:rsidRPr="00AE38CA">
        <w:t xml:space="preserve"> for </w:t>
      </w:r>
      <w:r w:rsidR="00B71915" w:rsidRPr="00AE38CA">
        <w:t>ECEC</w:t>
      </w:r>
      <w:r w:rsidR="00AF79B2" w:rsidRPr="00AE38CA">
        <w:t xml:space="preserve"> facil</w:t>
      </w:r>
      <w:r w:rsidR="00FB50BF" w:rsidRPr="00AE38CA">
        <w:t>i</w:t>
      </w:r>
      <w:r w:rsidR="00AF79B2" w:rsidRPr="00AE38CA">
        <w:t xml:space="preserve">ties, while other municipalities do not define any specific target groups. </w:t>
      </w:r>
    </w:p>
    <w:p w14:paraId="1E3205A5" w14:textId="70A6A96E" w:rsidR="004E3E40" w:rsidRPr="00AE38CA" w:rsidRDefault="00CB400E" w:rsidP="00164C22">
      <w:pPr>
        <w:pStyle w:val="Plattetekst"/>
      </w:pPr>
      <w:r w:rsidRPr="00AE38CA">
        <w:rPr>
          <w:b/>
          <w:color w:val="000000"/>
        </w:rPr>
        <w:t>A</w:t>
      </w:r>
      <w:r w:rsidR="00164C22" w:rsidRPr="00AE38CA">
        <w:rPr>
          <w:b/>
          <w:color w:val="000000"/>
        </w:rPr>
        <w:t>ffordability</w:t>
      </w:r>
      <w:r w:rsidR="001B17F7" w:rsidRPr="00AE38CA">
        <w:rPr>
          <w:b/>
          <w:color w:val="000000"/>
        </w:rPr>
        <w:t xml:space="preserve">: </w:t>
      </w:r>
      <w:r w:rsidR="0049583B" w:rsidRPr="00AE38CA">
        <w:t xml:space="preserve">Up until </w:t>
      </w:r>
      <w:r w:rsidR="004E3E40" w:rsidRPr="00AE38CA">
        <w:t xml:space="preserve">recently, parents of target group children for early childhood education were </w:t>
      </w:r>
      <w:r w:rsidR="001A1962" w:rsidRPr="00AE38CA">
        <w:t>subsidi</w:t>
      </w:r>
      <w:r w:rsidR="001B17F7" w:rsidRPr="00AE38CA">
        <w:t>s</w:t>
      </w:r>
      <w:r w:rsidR="001A1962" w:rsidRPr="00AE38CA">
        <w:t xml:space="preserve">ed through the local municipality. </w:t>
      </w:r>
      <w:r w:rsidR="008C55D0" w:rsidRPr="00AE38CA">
        <w:t>The current</w:t>
      </w:r>
      <w:r w:rsidR="005D188A" w:rsidRPr="00AE38CA">
        <w:t xml:space="preserve"> syste</w:t>
      </w:r>
      <w:r w:rsidR="008C55D0" w:rsidRPr="00AE38CA">
        <w:t xml:space="preserve">m </w:t>
      </w:r>
      <w:r w:rsidR="0004681C" w:rsidRPr="00AE38CA">
        <w:t xml:space="preserve">requires parents to first pay for early childhood education </w:t>
      </w:r>
      <w:r w:rsidR="007A63C2" w:rsidRPr="00AE38CA">
        <w:t xml:space="preserve">themselves </w:t>
      </w:r>
      <w:r w:rsidR="0004681C" w:rsidRPr="00AE38CA">
        <w:t xml:space="preserve">and then apply for tax </w:t>
      </w:r>
      <w:r w:rsidR="007A63C2" w:rsidRPr="00AE38CA">
        <w:t xml:space="preserve">benefits through the Dutch tax agency. </w:t>
      </w:r>
      <w:r w:rsidR="006D302F" w:rsidRPr="00AE38CA">
        <w:t xml:space="preserve">There are some indications – mainly in the larger Dutch cities – that </w:t>
      </w:r>
      <w:r w:rsidR="008A4257" w:rsidRPr="00AE38CA">
        <w:t>the</w:t>
      </w:r>
      <w:r w:rsidR="006D302F" w:rsidRPr="00AE38CA">
        <w:t xml:space="preserve"> </w:t>
      </w:r>
      <w:r w:rsidR="008A4257" w:rsidRPr="00AE38CA">
        <w:t xml:space="preserve">current system has led to a decrease in the number of target group children attending </w:t>
      </w:r>
      <w:r w:rsidR="00B71915" w:rsidRPr="00AE38CA">
        <w:t>ECEC</w:t>
      </w:r>
      <w:r w:rsidR="008A4257" w:rsidRPr="00AE38CA">
        <w:t xml:space="preserve"> facilities. </w:t>
      </w:r>
      <w:r w:rsidR="009B03F0" w:rsidRPr="00AE38CA">
        <w:t xml:space="preserve">Another </w:t>
      </w:r>
      <w:r w:rsidR="000518BB" w:rsidRPr="00AE38CA">
        <w:t>indication is presented in the Inception Report (2018, p.76)</w:t>
      </w:r>
      <w:r w:rsidR="00A02A65" w:rsidRPr="00AE38CA">
        <w:t>,</w:t>
      </w:r>
      <w:r w:rsidR="00F0388E" w:rsidRPr="00AE38CA">
        <w:t xml:space="preserve"> showing that </w:t>
      </w:r>
      <w:r w:rsidR="002A6123" w:rsidRPr="00AE38CA">
        <w:t>financial reason</w:t>
      </w:r>
      <w:r w:rsidR="00C4563A" w:rsidRPr="00AE38CA">
        <w:t>s</w:t>
      </w:r>
      <w:r w:rsidR="002A6123" w:rsidRPr="00AE38CA">
        <w:t xml:space="preserve"> are the dominant </w:t>
      </w:r>
      <w:r w:rsidR="00184D03" w:rsidRPr="00AE38CA">
        <w:t xml:space="preserve">factor that hamper the use of </w:t>
      </w:r>
      <w:r w:rsidR="00366B69" w:rsidRPr="00AE38CA">
        <w:t xml:space="preserve">formal </w:t>
      </w:r>
      <w:r w:rsidR="00CC1197" w:rsidRPr="00AE38CA">
        <w:t>child</w:t>
      </w:r>
      <w:r w:rsidR="009B5245" w:rsidRPr="00AE38CA">
        <w:t xml:space="preserve"> </w:t>
      </w:r>
      <w:r w:rsidR="00CC1197" w:rsidRPr="00AE38CA">
        <w:t>care services</w:t>
      </w:r>
      <w:r w:rsidR="004B5546" w:rsidRPr="00AE38CA">
        <w:t xml:space="preserve"> in the Netherlands, more dominant than in most other </w:t>
      </w:r>
      <w:r w:rsidR="00A13150" w:rsidRPr="00AE38CA">
        <w:t>countries</w:t>
      </w:r>
      <w:r w:rsidR="004B5546" w:rsidRPr="00AE38CA">
        <w:t>.</w:t>
      </w:r>
    </w:p>
    <w:p w14:paraId="2298F5BA" w14:textId="7D6BA569" w:rsidR="009D2B3F" w:rsidRPr="00AE38CA" w:rsidRDefault="00112FB6" w:rsidP="00164C22">
      <w:pPr>
        <w:pStyle w:val="Plattetekst"/>
      </w:pPr>
      <w:r w:rsidRPr="00AE38CA">
        <w:rPr>
          <w:b/>
          <w:color w:val="000000"/>
        </w:rPr>
        <w:t>A</w:t>
      </w:r>
      <w:r w:rsidR="00164C22" w:rsidRPr="00AE38CA">
        <w:rPr>
          <w:b/>
          <w:color w:val="000000"/>
        </w:rPr>
        <w:t>cceptability</w:t>
      </w:r>
      <w:r w:rsidR="000D46D2" w:rsidRPr="00AE38CA">
        <w:rPr>
          <w:b/>
          <w:color w:val="000000"/>
        </w:rPr>
        <w:t xml:space="preserve">: </w:t>
      </w:r>
      <w:r w:rsidR="00814057" w:rsidRPr="00AE38CA">
        <w:t>Children</w:t>
      </w:r>
      <w:r w:rsidR="00744242" w:rsidRPr="00AE38CA">
        <w:t xml:space="preserve"> with </w:t>
      </w:r>
      <w:r w:rsidR="00814057" w:rsidRPr="00AE38CA">
        <w:t>w</w:t>
      </w:r>
      <w:r w:rsidR="009F09B4" w:rsidRPr="00AE38CA">
        <w:t xml:space="preserve">orking </w:t>
      </w:r>
      <w:r w:rsidR="00744242" w:rsidRPr="00AE38CA">
        <w:t xml:space="preserve">parents </w:t>
      </w:r>
      <w:r w:rsidR="009F09B4" w:rsidRPr="00AE38CA">
        <w:t xml:space="preserve">from the lowest income groups appear to </w:t>
      </w:r>
      <w:r w:rsidR="00814057" w:rsidRPr="00AE38CA">
        <w:t xml:space="preserve">attend less often </w:t>
      </w:r>
      <w:r w:rsidR="00F42096" w:rsidRPr="00AE38CA">
        <w:t>ECEC</w:t>
      </w:r>
      <w:r w:rsidR="00814057" w:rsidRPr="00AE38CA">
        <w:t xml:space="preserve"> facilities than </w:t>
      </w:r>
      <w:r w:rsidR="00744242" w:rsidRPr="00AE38CA">
        <w:t xml:space="preserve">their counterparts from higher income groups. </w:t>
      </w:r>
      <w:r w:rsidR="00703869" w:rsidRPr="00AE38CA">
        <w:t xml:space="preserve">Income could be a driving factor for this differentiation, as well as cultural differences with lower income households often being less positive </w:t>
      </w:r>
      <w:r w:rsidR="00BF5C6F" w:rsidRPr="00AE38CA">
        <w:t xml:space="preserve">about early childhood education than higher income households. </w:t>
      </w:r>
    </w:p>
    <w:p w14:paraId="250008B2" w14:textId="5FE79622" w:rsidR="00164C22" w:rsidRPr="00AE38CA" w:rsidRDefault="00164C22" w:rsidP="00164C22">
      <w:pPr>
        <w:pStyle w:val="Kop2"/>
      </w:pPr>
      <w:r w:rsidRPr="00AE38CA">
        <w:lastRenderedPageBreak/>
        <w:t xml:space="preserve">Summary of main weaknesses and priorities for future action as highlighted in Sections 3.1-3.5 </w:t>
      </w:r>
    </w:p>
    <w:p w14:paraId="0D5A64D7" w14:textId="11C7B3FF" w:rsidR="00164C22" w:rsidRPr="00AE38CA" w:rsidRDefault="00164C22" w:rsidP="00164C22">
      <w:pPr>
        <w:pStyle w:val="Plattetekst"/>
      </w:pPr>
      <w:r w:rsidRPr="00AE38CA">
        <w:t xml:space="preserve">Table </w:t>
      </w:r>
      <w:r w:rsidR="003F24E2" w:rsidRPr="00AE38CA">
        <w:t>2</w:t>
      </w:r>
      <w:r w:rsidRPr="00AE38CA">
        <w:t xml:space="preserve"> (below)</w:t>
      </w:r>
      <w:r w:rsidR="00F42096" w:rsidRPr="00AE38CA">
        <w:t xml:space="preserve"> shows </w:t>
      </w:r>
      <w:r w:rsidR="001D00E2" w:rsidRPr="00AE38CA">
        <w:t xml:space="preserve">our analysis in which </w:t>
      </w:r>
      <w:r w:rsidRPr="00AE38CA">
        <w:t xml:space="preserve">the main barriers/weaknesses </w:t>
      </w:r>
      <w:r w:rsidR="00182245" w:rsidRPr="00AE38CA">
        <w:t xml:space="preserve">are summarised with regard to </w:t>
      </w:r>
      <w:r w:rsidRPr="00AE38CA">
        <w:t>existing policies/measures to support the access of each of the three TGs</w:t>
      </w:r>
      <w:r w:rsidR="001D00E2" w:rsidRPr="00AE38CA">
        <w:t>.</w:t>
      </w:r>
    </w:p>
    <w:p w14:paraId="03991204" w14:textId="77777777" w:rsidR="00AF5BC3" w:rsidRPr="00AE38CA" w:rsidRDefault="00AF5BC3" w:rsidP="00AF5BC3">
      <w:pPr>
        <w:pStyle w:val="Plattetekst"/>
      </w:pPr>
    </w:p>
    <w:p w14:paraId="2254C52C" w14:textId="77777777" w:rsidR="00AF5BC3" w:rsidRPr="00AE38CA" w:rsidRDefault="00AF5BC3" w:rsidP="00AF5BC3">
      <w:pPr>
        <w:pStyle w:val="Plattetekst"/>
      </w:pPr>
    </w:p>
    <w:p w14:paraId="291CF8C9" w14:textId="77777777" w:rsidR="00AF5BC3" w:rsidRPr="00AE38CA" w:rsidRDefault="00AF5BC3" w:rsidP="00AF5BC3">
      <w:pPr>
        <w:pStyle w:val="Plattetekst"/>
        <w:rPr>
          <w:b/>
        </w:rPr>
        <w:sectPr w:rsidR="00AF5BC3" w:rsidRPr="00AE38CA" w:rsidSect="00AB1726">
          <w:headerReference w:type="default" r:id="rId43"/>
          <w:pgSz w:w="11906" w:h="16838"/>
          <w:pgMar w:top="1247" w:right="1304" w:bottom="1247" w:left="1304" w:header="142" w:footer="351" w:gutter="0"/>
          <w:cols w:space="720"/>
          <w:docGrid w:linePitch="360"/>
        </w:sectPr>
      </w:pPr>
    </w:p>
    <w:p w14:paraId="5780FBA7" w14:textId="075F77EB" w:rsidR="00AF5BC3" w:rsidRPr="00AE38CA" w:rsidRDefault="00AF5BC3" w:rsidP="00AF5BC3">
      <w:pPr>
        <w:pStyle w:val="Bijschrift"/>
        <w:numPr>
          <w:ilvl w:val="0"/>
          <w:numId w:val="0"/>
        </w:numPr>
      </w:pPr>
      <w:r w:rsidRPr="00AE38CA">
        <w:lastRenderedPageBreak/>
        <w:t xml:space="preserve">Table </w:t>
      </w:r>
      <w:r w:rsidR="003F24E2" w:rsidRPr="00AE38CA">
        <w:t>2</w:t>
      </w:r>
      <w:r w:rsidRPr="00AE38CA">
        <w:t>: Summary of main weaknesses in existing policies/provision and key priorities for improving policies/provision as highlighted in Sections 3.1-3.5</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90"/>
        <w:gridCol w:w="1554"/>
        <w:gridCol w:w="3668"/>
        <w:gridCol w:w="3668"/>
        <w:gridCol w:w="3668"/>
      </w:tblGrid>
      <w:tr w:rsidR="00D46C84" w:rsidRPr="00AE38CA" w14:paraId="70B62A27" w14:textId="77777777" w:rsidTr="00504A88">
        <w:tc>
          <w:tcPr>
            <w:tcW w:w="1055" w:type="pct"/>
            <w:gridSpan w:val="2"/>
            <w:shd w:val="clear" w:color="auto" w:fill="00AEF0"/>
          </w:tcPr>
          <w:p w14:paraId="0A431E32" w14:textId="77777777" w:rsidR="00AF5BC3" w:rsidRPr="00AE38CA" w:rsidRDefault="00AF5BC3" w:rsidP="002819AA">
            <w:pPr>
              <w:jc w:val="left"/>
              <w:rPr>
                <w:rFonts w:ascii="Verdana" w:hAnsi="Verdana"/>
                <w:b/>
                <w:color w:val="FFFFFF"/>
                <w:sz w:val="18"/>
                <w:szCs w:val="18"/>
              </w:rPr>
            </w:pPr>
          </w:p>
        </w:tc>
        <w:tc>
          <w:tcPr>
            <w:tcW w:w="1315" w:type="pct"/>
            <w:shd w:val="clear" w:color="auto" w:fill="00AEF0"/>
          </w:tcPr>
          <w:p w14:paraId="4BEA268D" w14:textId="77777777" w:rsidR="00AF5BC3" w:rsidRPr="00AE38CA" w:rsidRDefault="00AF5BC3" w:rsidP="002819AA">
            <w:pPr>
              <w:jc w:val="left"/>
              <w:rPr>
                <w:rFonts w:ascii="Verdana" w:hAnsi="Verdana"/>
                <w:b/>
                <w:color w:val="FFFFFF"/>
                <w:sz w:val="20"/>
              </w:rPr>
            </w:pPr>
            <w:r w:rsidRPr="00AE38CA">
              <w:rPr>
                <w:rFonts w:ascii="Verdana" w:hAnsi="Verdana"/>
                <w:b/>
                <w:color w:val="FFFFFF"/>
                <w:sz w:val="20"/>
              </w:rPr>
              <w:t>Children living in precarious family situations</w:t>
            </w:r>
          </w:p>
        </w:tc>
        <w:tc>
          <w:tcPr>
            <w:tcW w:w="1315" w:type="pct"/>
            <w:shd w:val="clear" w:color="auto" w:fill="00AEF0"/>
          </w:tcPr>
          <w:p w14:paraId="70D5C683" w14:textId="77777777" w:rsidR="00AF5BC3" w:rsidRPr="00AE38CA" w:rsidRDefault="00AF5BC3" w:rsidP="002819AA">
            <w:pPr>
              <w:jc w:val="left"/>
              <w:rPr>
                <w:rFonts w:ascii="Verdana" w:hAnsi="Verdana"/>
                <w:b/>
                <w:color w:val="FFFFFF"/>
                <w:sz w:val="20"/>
              </w:rPr>
            </w:pPr>
            <w:r w:rsidRPr="00AE38CA">
              <w:rPr>
                <w:rFonts w:ascii="Verdana" w:hAnsi="Verdana"/>
                <w:b/>
                <w:color w:val="FFFFFF"/>
                <w:sz w:val="20"/>
              </w:rPr>
              <w:t>Children of recent migrants and refugees</w:t>
            </w:r>
          </w:p>
        </w:tc>
        <w:tc>
          <w:tcPr>
            <w:tcW w:w="1315" w:type="pct"/>
            <w:shd w:val="clear" w:color="auto" w:fill="00AEF0"/>
          </w:tcPr>
          <w:p w14:paraId="542D80E1" w14:textId="77777777" w:rsidR="00AF5BC3" w:rsidRPr="00AE38CA" w:rsidRDefault="00AF5BC3" w:rsidP="002819AA">
            <w:pPr>
              <w:jc w:val="left"/>
              <w:rPr>
                <w:rFonts w:ascii="Verdana" w:hAnsi="Verdana"/>
                <w:b/>
                <w:color w:val="FFFFFF"/>
                <w:sz w:val="20"/>
              </w:rPr>
            </w:pPr>
            <w:r w:rsidRPr="00AE38CA">
              <w:rPr>
                <w:rFonts w:ascii="Verdana" w:hAnsi="Verdana"/>
                <w:b/>
                <w:color w:val="FFFFFF"/>
                <w:sz w:val="20"/>
              </w:rPr>
              <w:t>Children with disabilities and other special needs</w:t>
            </w:r>
          </w:p>
        </w:tc>
      </w:tr>
      <w:tr w:rsidR="000A56CF" w:rsidRPr="00AE38CA" w14:paraId="2850F0C7" w14:textId="77777777" w:rsidTr="00C01DD9">
        <w:trPr>
          <w:trHeight w:val="332"/>
        </w:trPr>
        <w:tc>
          <w:tcPr>
            <w:tcW w:w="498" w:type="pct"/>
            <w:vMerge w:val="restart"/>
            <w:shd w:val="clear" w:color="auto" w:fill="F2F2F2"/>
            <w:vAlign w:val="center"/>
          </w:tcPr>
          <w:p w14:paraId="177C0205" w14:textId="77777777" w:rsidR="00AF5BC3" w:rsidRPr="00AE38CA" w:rsidRDefault="00AF5BC3" w:rsidP="002819AA">
            <w:pPr>
              <w:jc w:val="left"/>
              <w:rPr>
                <w:rFonts w:ascii="Verdana" w:hAnsi="Verdana"/>
                <w:b/>
                <w:sz w:val="20"/>
              </w:rPr>
            </w:pPr>
            <w:r w:rsidRPr="00AE38CA">
              <w:rPr>
                <w:rFonts w:ascii="Verdana" w:hAnsi="Verdana"/>
                <w:b/>
                <w:sz w:val="20"/>
              </w:rPr>
              <w:t>Adequate nutrition</w:t>
            </w:r>
          </w:p>
        </w:tc>
        <w:tc>
          <w:tcPr>
            <w:tcW w:w="557" w:type="pct"/>
            <w:shd w:val="clear" w:color="auto" w:fill="F2F2F2"/>
          </w:tcPr>
          <w:p w14:paraId="0B664A5E" w14:textId="77777777" w:rsidR="00AF5BC3" w:rsidRPr="00AE38CA" w:rsidRDefault="00AF5BC3" w:rsidP="002819AA">
            <w:pPr>
              <w:jc w:val="left"/>
              <w:rPr>
                <w:rFonts w:ascii="Verdana" w:hAnsi="Verdana"/>
                <w:b/>
                <w:sz w:val="18"/>
                <w:szCs w:val="18"/>
              </w:rPr>
            </w:pPr>
            <w:r w:rsidRPr="00AE38CA">
              <w:rPr>
                <w:rFonts w:ascii="Verdana" w:hAnsi="Verdana"/>
                <w:b/>
                <w:sz w:val="18"/>
                <w:szCs w:val="18"/>
              </w:rPr>
              <w:t>Main barriers &amp; weaknesses</w:t>
            </w:r>
          </w:p>
        </w:tc>
        <w:tc>
          <w:tcPr>
            <w:tcW w:w="1315" w:type="pct"/>
            <w:shd w:val="clear" w:color="auto" w:fill="F2F2F2"/>
          </w:tcPr>
          <w:p w14:paraId="6E3FB5BD" w14:textId="46E447E0" w:rsidR="00AF5BC3" w:rsidRPr="00AE38CA" w:rsidRDefault="00AF5BC3" w:rsidP="002819AA">
            <w:pPr>
              <w:rPr>
                <w:rFonts w:ascii="Verdana" w:hAnsi="Verdana"/>
                <w:sz w:val="18"/>
                <w:szCs w:val="18"/>
              </w:rPr>
            </w:pPr>
            <w:r w:rsidRPr="00AE38CA">
              <w:rPr>
                <w:rFonts w:ascii="Verdana" w:hAnsi="Verdana"/>
                <w:sz w:val="18"/>
                <w:szCs w:val="18"/>
              </w:rPr>
              <w:t>1.</w:t>
            </w:r>
            <w:r w:rsidR="00F528EE" w:rsidRPr="00AE38CA">
              <w:rPr>
                <w:rFonts w:ascii="Verdana" w:hAnsi="Verdana"/>
                <w:sz w:val="18"/>
                <w:szCs w:val="18"/>
              </w:rPr>
              <w:t xml:space="preserve"> The absence of a</w:t>
            </w:r>
            <w:r w:rsidR="00C90818" w:rsidRPr="00AE38CA">
              <w:rPr>
                <w:rFonts w:ascii="Verdana" w:hAnsi="Verdana"/>
                <w:sz w:val="18"/>
                <w:szCs w:val="18"/>
              </w:rPr>
              <w:t xml:space="preserve"> </w:t>
            </w:r>
            <w:r w:rsidR="00821FBC" w:rsidRPr="00AE38CA">
              <w:rPr>
                <w:rFonts w:ascii="Verdana" w:hAnsi="Verdana"/>
                <w:sz w:val="18"/>
                <w:szCs w:val="18"/>
              </w:rPr>
              <w:t>national strategy to specifically target this target group</w:t>
            </w:r>
          </w:p>
          <w:p w14:paraId="1D2BF957" w14:textId="0C316FF4" w:rsidR="00AF5BC3" w:rsidRPr="00AE38CA" w:rsidRDefault="00AF5BC3" w:rsidP="002819AA">
            <w:pPr>
              <w:rPr>
                <w:rFonts w:ascii="Verdana" w:hAnsi="Verdana"/>
                <w:sz w:val="18"/>
                <w:szCs w:val="18"/>
              </w:rPr>
            </w:pPr>
            <w:r w:rsidRPr="00AE38CA">
              <w:rPr>
                <w:rFonts w:ascii="Verdana" w:hAnsi="Verdana"/>
                <w:sz w:val="18"/>
                <w:szCs w:val="18"/>
              </w:rPr>
              <w:t>2.</w:t>
            </w:r>
            <w:r w:rsidR="00BB4ADF" w:rsidRPr="00AE38CA">
              <w:rPr>
                <w:rFonts w:ascii="Verdana" w:hAnsi="Verdana"/>
                <w:sz w:val="18"/>
                <w:szCs w:val="18"/>
              </w:rPr>
              <w:t xml:space="preserve"> Residential water </w:t>
            </w:r>
            <w:r w:rsidR="008D6F9C" w:rsidRPr="00AE38CA">
              <w:rPr>
                <w:rFonts w:ascii="Verdana" w:hAnsi="Verdana"/>
                <w:sz w:val="18"/>
                <w:szCs w:val="18"/>
              </w:rPr>
              <w:t xml:space="preserve">cut-offs </w:t>
            </w:r>
            <w:r w:rsidR="00E90BB3" w:rsidRPr="00AE38CA">
              <w:rPr>
                <w:rFonts w:ascii="Verdana" w:hAnsi="Verdana"/>
                <w:sz w:val="18"/>
                <w:szCs w:val="18"/>
              </w:rPr>
              <w:t>for households that fail to pay their water bills</w:t>
            </w:r>
          </w:p>
          <w:p w14:paraId="3B0944D0" w14:textId="5FA0ABCC" w:rsidR="00AF5BC3" w:rsidRPr="00AE38CA" w:rsidRDefault="00AF5BC3" w:rsidP="002819AA">
            <w:r w:rsidRPr="00AE38CA">
              <w:rPr>
                <w:rFonts w:ascii="Verdana" w:hAnsi="Verdana"/>
                <w:sz w:val="18"/>
                <w:szCs w:val="18"/>
              </w:rPr>
              <w:t>3.</w:t>
            </w:r>
            <w:r w:rsidR="002204E4" w:rsidRPr="00AE38CA">
              <w:rPr>
                <w:rFonts w:ascii="Verdana" w:hAnsi="Verdana"/>
                <w:sz w:val="18"/>
                <w:szCs w:val="18"/>
              </w:rPr>
              <w:t xml:space="preserve"> </w:t>
            </w:r>
            <w:r w:rsidR="00FF1840" w:rsidRPr="00AE38CA">
              <w:rPr>
                <w:rFonts w:ascii="Verdana" w:hAnsi="Verdana"/>
                <w:sz w:val="18"/>
                <w:szCs w:val="18"/>
              </w:rPr>
              <w:t>Poor health outcome due to less healthy food intake</w:t>
            </w:r>
          </w:p>
        </w:tc>
        <w:tc>
          <w:tcPr>
            <w:tcW w:w="1315" w:type="pct"/>
            <w:shd w:val="clear" w:color="auto" w:fill="F2F2F2"/>
          </w:tcPr>
          <w:p w14:paraId="06C8F010" w14:textId="77777777" w:rsidR="00C90818" w:rsidRPr="00AE38CA" w:rsidRDefault="00C90818" w:rsidP="00C90818">
            <w:pPr>
              <w:rPr>
                <w:rFonts w:ascii="Verdana" w:hAnsi="Verdana"/>
                <w:sz w:val="18"/>
                <w:szCs w:val="18"/>
              </w:rPr>
            </w:pPr>
            <w:r w:rsidRPr="00AE38CA">
              <w:rPr>
                <w:rFonts w:ascii="Verdana" w:hAnsi="Verdana"/>
                <w:sz w:val="18"/>
                <w:szCs w:val="18"/>
              </w:rPr>
              <w:t>1. The absence of a national strategy to specifically target this target group</w:t>
            </w:r>
          </w:p>
          <w:p w14:paraId="668B36DF" w14:textId="1F634B5A" w:rsidR="00E90BB3" w:rsidRPr="00AE38CA" w:rsidRDefault="00E90BB3" w:rsidP="00E90BB3">
            <w:pPr>
              <w:rPr>
                <w:rFonts w:ascii="Verdana" w:hAnsi="Verdana"/>
                <w:sz w:val="18"/>
                <w:szCs w:val="18"/>
              </w:rPr>
            </w:pPr>
            <w:r w:rsidRPr="00AE38CA">
              <w:rPr>
                <w:rFonts w:ascii="Verdana" w:hAnsi="Verdana"/>
                <w:sz w:val="18"/>
                <w:szCs w:val="18"/>
              </w:rPr>
              <w:t xml:space="preserve">2. Residential water </w:t>
            </w:r>
            <w:r w:rsidR="00EE67D3" w:rsidRPr="00AE38CA">
              <w:rPr>
                <w:rFonts w:ascii="Verdana" w:hAnsi="Verdana"/>
                <w:sz w:val="18"/>
                <w:szCs w:val="18"/>
              </w:rPr>
              <w:t>cut-offs</w:t>
            </w:r>
            <w:r w:rsidRPr="00AE38CA">
              <w:rPr>
                <w:rFonts w:ascii="Verdana" w:hAnsi="Verdana"/>
                <w:sz w:val="18"/>
                <w:szCs w:val="18"/>
              </w:rPr>
              <w:t xml:space="preserve"> for households that fail to pay their water bills</w:t>
            </w:r>
          </w:p>
          <w:p w14:paraId="6DA1C0F8" w14:textId="4358AB20" w:rsidR="00AF5BC3" w:rsidRPr="00AE38CA" w:rsidRDefault="00442C28" w:rsidP="002819AA">
            <w:pPr>
              <w:rPr>
                <w:rFonts w:ascii="Verdana" w:hAnsi="Verdana"/>
                <w:sz w:val="18"/>
                <w:szCs w:val="18"/>
              </w:rPr>
            </w:pPr>
            <w:r w:rsidRPr="00AE38CA">
              <w:rPr>
                <w:rFonts w:ascii="Verdana" w:hAnsi="Verdana"/>
                <w:sz w:val="18"/>
                <w:szCs w:val="18"/>
              </w:rPr>
              <w:t xml:space="preserve">3. </w:t>
            </w:r>
            <w:r w:rsidR="00096BB6" w:rsidRPr="00AE38CA">
              <w:rPr>
                <w:rFonts w:ascii="Verdana" w:hAnsi="Verdana"/>
                <w:sz w:val="18"/>
                <w:szCs w:val="18"/>
              </w:rPr>
              <w:t>Poor health outcome due to less healthy food intake</w:t>
            </w:r>
          </w:p>
        </w:tc>
        <w:tc>
          <w:tcPr>
            <w:tcW w:w="1315" w:type="pct"/>
            <w:shd w:val="clear" w:color="auto" w:fill="F2F2F2"/>
          </w:tcPr>
          <w:p w14:paraId="10078DD0" w14:textId="77777777" w:rsidR="00C90818" w:rsidRPr="00AE38CA" w:rsidRDefault="00C90818" w:rsidP="00C90818">
            <w:pPr>
              <w:rPr>
                <w:rFonts w:ascii="Verdana" w:hAnsi="Verdana"/>
                <w:sz w:val="18"/>
                <w:szCs w:val="18"/>
              </w:rPr>
            </w:pPr>
            <w:r w:rsidRPr="00AE38CA">
              <w:rPr>
                <w:rFonts w:ascii="Verdana" w:hAnsi="Verdana"/>
                <w:sz w:val="18"/>
                <w:szCs w:val="18"/>
              </w:rPr>
              <w:t>1. The absence of a national strategy to specifically target this target group</w:t>
            </w:r>
          </w:p>
          <w:p w14:paraId="05C4F164" w14:textId="4494E6B3" w:rsidR="00E90BB3" w:rsidRPr="00AE38CA" w:rsidRDefault="00E90BB3" w:rsidP="00E90BB3">
            <w:pPr>
              <w:rPr>
                <w:rFonts w:ascii="Verdana" w:hAnsi="Verdana"/>
                <w:sz w:val="18"/>
                <w:szCs w:val="18"/>
              </w:rPr>
            </w:pPr>
            <w:r w:rsidRPr="00AE38CA">
              <w:rPr>
                <w:rFonts w:ascii="Verdana" w:hAnsi="Verdana"/>
                <w:sz w:val="18"/>
                <w:szCs w:val="18"/>
              </w:rPr>
              <w:t xml:space="preserve">2. Residential water </w:t>
            </w:r>
            <w:r w:rsidR="00EE67D3" w:rsidRPr="00AE38CA">
              <w:rPr>
                <w:rFonts w:ascii="Verdana" w:hAnsi="Verdana"/>
                <w:sz w:val="18"/>
                <w:szCs w:val="18"/>
              </w:rPr>
              <w:t>cut-offs</w:t>
            </w:r>
            <w:r w:rsidRPr="00AE38CA">
              <w:rPr>
                <w:rFonts w:ascii="Verdana" w:hAnsi="Verdana"/>
                <w:sz w:val="18"/>
                <w:szCs w:val="18"/>
              </w:rPr>
              <w:t xml:space="preserve"> for households that fail to pay their water bills</w:t>
            </w:r>
          </w:p>
          <w:p w14:paraId="7174C906" w14:textId="3BA9BE8C" w:rsidR="00AF5BC3" w:rsidRPr="00AE38CA" w:rsidRDefault="00442C28" w:rsidP="002819AA">
            <w:pPr>
              <w:rPr>
                <w:rFonts w:ascii="Verdana" w:hAnsi="Verdana"/>
                <w:sz w:val="18"/>
                <w:szCs w:val="18"/>
              </w:rPr>
            </w:pPr>
            <w:r w:rsidRPr="00AE38CA">
              <w:rPr>
                <w:rFonts w:ascii="Verdana" w:hAnsi="Verdana"/>
                <w:sz w:val="18"/>
                <w:szCs w:val="18"/>
              </w:rPr>
              <w:t xml:space="preserve">3. </w:t>
            </w:r>
            <w:r w:rsidR="00FF1840" w:rsidRPr="00AE38CA">
              <w:rPr>
                <w:rFonts w:ascii="Verdana" w:hAnsi="Verdana"/>
                <w:sz w:val="18"/>
                <w:szCs w:val="18"/>
              </w:rPr>
              <w:t>Poor health outcome due to less healthy food intake</w:t>
            </w:r>
          </w:p>
        </w:tc>
      </w:tr>
      <w:tr w:rsidR="000A56CF" w:rsidRPr="00AE38CA" w14:paraId="67CBCB6C" w14:textId="77777777" w:rsidTr="00C01DD9">
        <w:tc>
          <w:tcPr>
            <w:tcW w:w="498" w:type="pct"/>
            <w:vMerge/>
            <w:vAlign w:val="center"/>
          </w:tcPr>
          <w:p w14:paraId="4431D709" w14:textId="77777777" w:rsidR="00B811BE" w:rsidRPr="00AE38CA" w:rsidRDefault="00B811BE" w:rsidP="00B811BE">
            <w:pPr>
              <w:jc w:val="left"/>
              <w:rPr>
                <w:rFonts w:ascii="Verdana" w:hAnsi="Verdana"/>
                <w:b/>
                <w:sz w:val="20"/>
              </w:rPr>
            </w:pPr>
          </w:p>
        </w:tc>
        <w:tc>
          <w:tcPr>
            <w:tcW w:w="557" w:type="pct"/>
            <w:shd w:val="clear" w:color="auto" w:fill="F2F2F2"/>
          </w:tcPr>
          <w:p w14:paraId="47135ED1" w14:textId="77777777" w:rsidR="00B811BE" w:rsidRPr="00AE38CA" w:rsidRDefault="00B811BE" w:rsidP="00B811BE">
            <w:pPr>
              <w:jc w:val="left"/>
              <w:rPr>
                <w:rFonts w:ascii="Verdana" w:hAnsi="Verdana"/>
                <w:b/>
                <w:sz w:val="18"/>
                <w:szCs w:val="18"/>
              </w:rPr>
            </w:pPr>
            <w:r w:rsidRPr="00AE38CA">
              <w:rPr>
                <w:rFonts w:ascii="Verdana" w:hAnsi="Verdana"/>
                <w:b/>
                <w:sz w:val="18"/>
                <w:szCs w:val="18"/>
              </w:rPr>
              <w:t>Priorities for action</w:t>
            </w:r>
          </w:p>
        </w:tc>
        <w:tc>
          <w:tcPr>
            <w:tcW w:w="1315" w:type="pct"/>
            <w:shd w:val="clear" w:color="auto" w:fill="F2F2F2"/>
          </w:tcPr>
          <w:p w14:paraId="776554C9" w14:textId="31EB87E1" w:rsidR="00B811BE" w:rsidRPr="00AE38CA" w:rsidRDefault="00B811BE" w:rsidP="00B811BE">
            <w:pPr>
              <w:rPr>
                <w:rFonts w:ascii="Verdana" w:hAnsi="Verdana"/>
                <w:sz w:val="18"/>
                <w:szCs w:val="18"/>
              </w:rPr>
            </w:pPr>
            <w:r w:rsidRPr="00AE38CA">
              <w:rPr>
                <w:rFonts w:ascii="Verdana" w:hAnsi="Verdana"/>
                <w:sz w:val="18"/>
                <w:szCs w:val="18"/>
              </w:rPr>
              <w:t>1. Design policies to empower children in exercising healthier lifestyle choices</w:t>
            </w:r>
          </w:p>
          <w:p w14:paraId="5F217F5D" w14:textId="64292E21" w:rsidR="00B811BE" w:rsidRPr="00AE38CA" w:rsidRDefault="00B811BE" w:rsidP="00B811BE">
            <w:pPr>
              <w:rPr>
                <w:rFonts w:ascii="Verdana" w:hAnsi="Verdana"/>
                <w:sz w:val="18"/>
                <w:szCs w:val="18"/>
              </w:rPr>
            </w:pPr>
            <w:r w:rsidRPr="00AE38CA">
              <w:rPr>
                <w:rFonts w:ascii="Verdana" w:hAnsi="Verdana"/>
                <w:sz w:val="18"/>
                <w:szCs w:val="18"/>
              </w:rPr>
              <w:t xml:space="preserve">2. Reconsider residential water </w:t>
            </w:r>
            <w:r w:rsidR="008D6F9C" w:rsidRPr="00AE38CA">
              <w:rPr>
                <w:rFonts w:ascii="Verdana" w:hAnsi="Verdana"/>
                <w:sz w:val="18"/>
                <w:szCs w:val="18"/>
              </w:rPr>
              <w:t xml:space="preserve">cut-off </w:t>
            </w:r>
            <w:r w:rsidRPr="00AE38CA">
              <w:rPr>
                <w:rFonts w:ascii="Verdana" w:hAnsi="Verdana"/>
                <w:sz w:val="18"/>
                <w:szCs w:val="18"/>
              </w:rPr>
              <w:t xml:space="preserve">policies and review </w:t>
            </w:r>
            <w:r w:rsidR="00C91EBF" w:rsidRPr="00AE38CA">
              <w:rPr>
                <w:rFonts w:ascii="Verdana" w:hAnsi="Verdana"/>
                <w:sz w:val="18"/>
                <w:szCs w:val="18"/>
              </w:rPr>
              <w:t xml:space="preserve">current </w:t>
            </w:r>
            <w:r w:rsidR="00CA27E3" w:rsidRPr="00AE38CA">
              <w:rPr>
                <w:rFonts w:ascii="Verdana" w:hAnsi="Verdana"/>
                <w:sz w:val="18"/>
                <w:szCs w:val="18"/>
              </w:rPr>
              <w:t xml:space="preserve">water </w:t>
            </w:r>
            <w:r w:rsidR="008D6F9C" w:rsidRPr="00AE38CA">
              <w:rPr>
                <w:rFonts w:ascii="Verdana" w:hAnsi="Verdana"/>
                <w:sz w:val="18"/>
                <w:szCs w:val="18"/>
              </w:rPr>
              <w:t xml:space="preserve">cut-off </w:t>
            </w:r>
            <w:r w:rsidR="00CA27E3" w:rsidRPr="00AE38CA">
              <w:rPr>
                <w:rFonts w:ascii="Verdana" w:hAnsi="Verdana"/>
                <w:sz w:val="18"/>
                <w:szCs w:val="18"/>
              </w:rPr>
              <w:t>practices</w:t>
            </w:r>
          </w:p>
        </w:tc>
        <w:tc>
          <w:tcPr>
            <w:tcW w:w="1315" w:type="pct"/>
            <w:shd w:val="clear" w:color="auto" w:fill="F2F2F2"/>
          </w:tcPr>
          <w:p w14:paraId="43C1350F" w14:textId="79FFC51E" w:rsidR="00B811BE" w:rsidRPr="00AE38CA" w:rsidRDefault="00B811BE" w:rsidP="00B811BE">
            <w:pPr>
              <w:rPr>
                <w:rFonts w:ascii="Verdana" w:hAnsi="Verdana"/>
                <w:sz w:val="18"/>
                <w:szCs w:val="18"/>
              </w:rPr>
            </w:pPr>
            <w:r w:rsidRPr="00AE38CA">
              <w:rPr>
                <w:rFonts w:ascii="Verdana" w:hAnsi="Verdana"/>
                <w:sz w:val="18"/>
                <w:szCs w:val="18"/>
              </w:rPr>
              <w:t>1. Design policies to empower children in exercising healthier lifestyle choices</w:t>
            </w:r>
          </w:p>
          <w:p w14:paraId="231FF2D8" w14:textId="235EBA37" w:rsidR="00B811BE" w:rsidRPr="00AE38CA" w:rsidRDefault="00B811BE" w:rsidP="00B811BE">
            <w:pPr>
              <w:rPr>
                <w:rFonts w:ascii="Verdana" w:hAnsi="Verdana"/>
                <w:sz w:val="18"/>
                <w:szCs w:val="18"/>
              </w:rPr>
            </w:pPr>
            <w:r w:rsidRPr="00AE38CA">
              <w:rPr>
                <w:rFonts w:ascii="Verdana" w:hAnsi="Verdana"/>
                <w:sz w:val="18"/>
                <w:szCs w:val="18"/>
              </w:rPr>
              <w:t xml:space="preserve">2. Reconsider residential water </w:t>
            </w:r>
            <w:r w:rsidR="00FB0490" w:rsidRPr="00AE38CA">
              <w:rPr>
                <w:rFonts w:ascii="Verdana" w:hAnsi="Verdana"/>
                <w:sz w:val="18"/>
                <w:szCs w:val="18"/>
              </w:rPr>
              <w:t>cut-off</w:t>
            </w:r>
            <w:r w:rsidRPr="00AE38CA">
              <w:rPr>
                <w:rFonts w:ascii="Verdana" w:hAnsi="Verdana"/>
                <w:sz w:val="18"/>
                <w:szCs w:val="18"/>
              </w:rPr>
              <w:t xml:space="preserve"> policies and review current water </w:t>
            </w:r>
            <w:r w:rsidR="00D123CC" w:rsidRPr="00AE38CA">
              <w:rPr>
                <w:rFonts w:ascii="Verdana" w:hAnsi="Verdana"/>
                <w:sz w:val="18"/>
                <w:szCs w:val="18"/>
              </w:rPr>
              <w:t>cut-off</w:t>
            </w:r>
            <w:r w:rsidRPr="00AE38CA">
              <w:rPr>
                <w:rFonts w:ascii="Verdana" w:hAnsi="Verdana"/>
                <w:sz w:val="18"/>
                <w:szCs w:val="18"/>
              </w:rPr>
              <w:t xml:space="preserve"> practices</w:t>
            </w:r>
          </w:p>
        </w:tc>
        <w:tc>
          <w:tcPr>
            <w:tcW w:w="1315" w:type="pct"/>
            <w:shd w:val="clear" w:color="auto" w:fill="F2F2F2"/>
          </w:tcPr>
          <w:p w14:paraId="15F576B3" w14:textId="6439FBF1" w:rsidR="00B811BE" w:rsidRPr="00AE38CA" w:rsidRDefault="00B811BE" w:rsidP="00B811BE">
            <w:pPr>
              <w:rPr>
                <w:rFonts w:ascii="Verdana" w:hAnsi="Verdana"/>
                <w:sz w:val="18"/>
                <w:szCs w:val="18"/>
              </w:rPr>
            </w:pPr>
            <w:r w:rsidRPr="00AE38CA">
              <w:rPr>
                <w:rFonts w:ascii="Verdana" w:hAnsi="Verdana"/>
                <w:sz w:val="18"/>
                <w:szCs w:val="18"/>
              </w:rPr>
              <w:t>1. Design policies to empower children in exercising healthier lifestyle choices</w:t>
            </w:r>
          </w:p>
          <w:p w14:paraId="1BB41D11" w14:textId="204C32AE" w:rsidR="00B811BE" w:rsidRPr="00AE38CA" w:rsidRDefault="00B811BE" w:rsidP="00B811BE">
            <w:pPr>
              <w:rPr>
                <w:rFonts w:ascii="Verdana" w:hAnsi="Verdana"/>
                <w:sz w:val="18"/>
                <w:szCs w:val="18"/>
              </w:rPr>
            </w:pPr>
            <w:r w:rsidRPr="00AE38CA">
              <w:rPr>
                <w:rFonts w:ascii="Verdana" w:hAnsi="Verdana"/>
                <w:sz w:val="18"/>
                <w:szCs w:val="18"/>
              </w:rPr>
              <w:t xml:space="preserve">2. Reconsider residential water </w:t>
            </w:r>
            <w:r w:rsidR="00D123CC" w:rsidRPr="00AE38CA">
              <w:rPr>
                <w:rFonts w:ascii="Verdana" w:hAnsi="Verdana"/>
                <w:sz w:val="18"/>
                <w:szCs w:val="18"/>
              </w:rPr>
              <w:t>cut-off</w:t>
            </w:r>
            <w:r w:rsidRPr="00AE38CA">
              <w:rPr>
                <w:rFonts w:ascii="Verdana" w:hAnsi="Verdana"/>
                <w:sz w:val="18"/>
                <w:szCs w:val="18"/>
              </w:rPr>
              <w:t xml:space="preserve"> policies and review current water </w:t>
            </w:r>
            <w:r w:rsidR="00D123CC" w:rsidRPr="00AE38CA">
              <w:rPr>
                <w:rFonts w:ascii="Verdana" w:hAnsi="Verdana"/>
                <w:sz w:val="18"/>
                <w:szCs w:val="18"/>
              </w:rPr>
              <w:t>cut-off</w:t>
            </w:r>
            <w:r w:rsidRPr="00AE38CA">
              <w:rPr>
                <w:rFonts w:ascii="Verdana" w:hAnsi="Verdana"/>
                <w:sz w:val="18"/>
                <w:szCs w:val="18"/>
              </w:rPr>
              <w:t xml:space="preserve"> practices</w:t>
            </w:r>
          </w:p>
        </w:tc>
      </w:tr>
      <w:tr w:rsidR="0024387A" w:rsidRPr="00AE38CA" w14:paraId="26FD140C" w14:textId="77777777" w:rsidTr="00C01DD9">
        <w:tc>
          <w:tcPr>
            <w:tcW w:w="498" w:type="pct"/>
            <w:vMerge w:val="restart"/>
            <w:shd w:val="clear" w:color="auto" w:fill="F2F2F2"/>
            <w:vAlign w:val="center"/>
          </w:tcPr>
          <w:p w14:paraId="1047DB8F" w14:textId="77777777" w:rsidR="0024387A" w:rsidRPr="00AE38CA" w:rsidRDefault="0024387A" w:rsidP="0024387A">
            <w:pPr>
              <w:jc w:val="left"/>
              <w:rPr>
                <w:rFonts w:ascii="Verdana" w:hAnsi="Verdana"/>
                <w:b/>
                <w:sz w:val="20"/>
              </w:rPr>
            </w:pPr>
            <w:r w:rsidRPr="00AE38CA">
              <w:rPr>
                <w:rFonts w:ascii="Verdana" w:hAnsi="Verdana"/>
                <w:b/>
                <w:sz w:val="20"/>
              </w:rPr>
              <w:t>Free education</w:t>
            </w:r>
          </w:p>
        </w:tc>
        <w:tc>
          <w:tcPr>
            <w:tcW w:w="557" w:type="pct"/>
            <w:shd w:val="clear" w:color="auto" w:fill="F2F2F2"/>
          </w:tcPr>
          <w:p w14:paraId="2FBEB0F3" w14:textId="77777777" w:rsidR="0024387A" w:rsidRPr="00AE38CA" w:rsidRDefault="0024387A" w:rsidP="0024387A">
            <w:pPr>
              <w:jc w:val="left"/>
              <w:rPr>
                <w:rFonts w:ascii="Verdana" w:hAnsi="Verdana"/>
                <w:b/>
                <w:sz w:val="18"/>
                <w:szCs w:val="18"/>
              </w:rPr>
            </w:pPr>
            <w:r w:rsidRPr="00AE38CA">
              <w:rPr>
                <w:rFonts w:ascii="Verdana" w:hAnsi="Verdana"/>
                <w:b/>
                <w:sz w:val="18"/>
                <w:szCs w:val="18"/>
              </w:rPr>
              <w:t>Main barriers &amp; weaknesses</w:t>
            </w:r>
          </w:p>
        </w:tc>
        <w:tc>
          <w:tcPr>
            <w:tcW w:w="1315" w:type="pct"/>
            <w:tcBorders>
              <w:top w:val="single" w:sz="8" w:space="0" w:color="D9D9D9"/>
              <w:left w:val="nil"/>
              <w:bottom w:val="single" w:sz="8" w:space="0" w:color="D9D9D9"/>
              <w:right w:val="single" w:sz="8" w:space="0" w:color="D9D9D9"/>
            </w:tcBorders>
            <w:shd w:val="clear" w:color="auto" w:fill="F2F2F2"/>
          </w:tcPr>
          <w:p w14:paraId="6333F2F3" w14:textId="77013AC8" w:rsidR="0024387A" w:rsidRPr="00AE38CA" w:rsidRDefault="0024387A" w:rsidP="0024387A">
            <w:pPr>
              <w:rPr>
                <w:rFonts w:ascii="Verdana" w:hAnsi="Verdana"/>
                <w:sz w:val="18"/>
                <w:szCs w:val="18"/>
              </w:rPr>
            </w:pPr>
            <w:r w:rsidRPr="00AE38CA">
              <w:rPr>
                <w:rFonts w:ascii="Verdana" w:hAnsi="Verdana"/>
                <w:sz w:val="18"/>
                <w:szCs w:val="18"/>
              </w:rPr>
              <w:t xml:space="preserve">1. </w:t>
            </w:r>
            <w:r w:rsidR="008D6F9C" w:rsidRPr="00AE38CA">
              <w:rPr>
                <w:rFonts w:ascii="Verdana" w:hAnsi="Verdana"/>
                <w:sz w:val="18"/>
                <w:szCs w:val="18"/>
              </w:rPr>
              <w:t>D</w:t>
            </w:r>
            <w:r w:rsidRPr="00AE38CA">
              <w:rPr>
                <w:rFonts w:ascii="Verdana" w:hAnsi="Verdana"/>
                <w:sz w:val="18"/>
                <w:szCs w:val="18"/>
              </w:rPr>
              <w:t>isparities between schools and the degree of segregation</w:t>
            </w:r>
          </w:p>
          <w:p w14:paraId="5BA90726" w14:textId="080DF17F" w:rsidR="0024387A" w:rsidRPr="00AE38CA" w:rsidRDefault="0024387A" w:rsidP="0024387A">
            <w:pPr>
              <w:rPr>
                <w:rFonts w:ascii="Verdana" w:hAnsi="Verdana"/>
                <w:sz w:val="18"/>
                <w:szCs w:val="18"/>
              </w:rPr>
            </w:pPr>
            <w:r w:rsidRPr="00AE38CA">
              <w:rPr>
                <w:rFonts w:ascii="Verdana" w:hAnsi="Verdana"/>
                <w:sz w:val="18"/>
                <w:szCs w:val="18"/>
              </w:rPr>
              <w:t>2.</w:t>
            </w:r>
            <w:r w:rsidR="008D6F9C" w:rsidRPr="00AE38CA">
              <w:rPr>
                <w:rFonts w:ascii="Verdana" w:hAnsi="Verdana"/>
                <w:sz w:val="18"/>
                <w:szCs w:val="18"/>
              </w:rPr>
              <w:t xml:space="preserve"> R</w:t>
            </w:r>
            <w:r w:rsidRPr="00AE38CA">
              <w:rPr>
                <w:rFonts w:ascii="Verdana" w:hAnsi="Verdana"/>
                <w:sz w:val="18"/>
                <w:szCs w:val="18"/>
              </w:rPr>
              <w:t xml:space="preserve">elatively </w:t>
            </w:r>
            <w:r w:rsidR="00EE67D3" w:rsidRPr="00AE38CA">
              <w:rPr>
                <w:rFonts w:ascii="Verdana" w:hAnsi="Verdana"/>
                <w:sz w:val="18"/>
                <w:szCs w:val="18"/>
              </w:rPr>
              <w:t xml:space="preserve">large </w:t>
            </w:r>
            <w:r w:rsidRPr="00AE38CA">
              <w:rPr>
                <w:rFonts w:ascii="Verdana" w:hAnsi="Verdana"/>
                <w:sz w:val="18"/>
                <w:szCs w:val="18"/>
              </w:rPr>
              <w:t>group of children temporarily not receiving formal schooling</w:t>
            </w:r>
          </w:p>
        </w:tc>
        <w:tc>
          <w:tcPr>
            <w:tcW w:w="1315" w:type="pct"/>
            <w:tcBorders>
              <w:top w:val="single" w:sz="8" w:space="0" w:color="D9D9D9"/>
              <w:left w:val="nil"/>
              <w:bottom w:val="single" w:sz="8" w:space="0" w:color="D9D9D9"/>
              <w:right w:val="single" w:sz="8" w:space="0" w:color="D9D9D9"/>
            </w:tcBorders>
            <w:shd w:val="clear" w:color="auto" w:fill="F2F2F2"/>
          </w:tcPr>
          <w:p w14:paraId="4651D82F" w14:textId="27CB1A2B" w:rsidR="0024387A" w:rsidRPr="00AE38CA" w:rsidRDefault="0024387A" w:rsidP="0024387A">
            <w:pPr>
              <w:rPr>
                <w:rFonts w:ascii="Verdana" w:hAnsi="Verdana"/>
                <w:sz w:val="18"/>
                <w:szCs w:val="18"/>
              </w:rPr>
            </w:pPr>
            <w:r w:rsidRPr="00AE38CA">
              <w:rPr>
                <w:rFonts w:ascii="Verdana" w:hAnsi="Verdana"/>
                <w:sz w:val="18"/>
                <w:szCs w:val="18"/>
              </w:rPr>
              <w:t xml:space="preserve">1. </w:t>
            </w:r>
            <w:r w:rsidR="00D123CC" w:rsidRPr="00AE38CA">
              <w:rPr>
                <w:rFonts w:ascii="Verdana" w:hAnsi="Verdana"/>
                <w:sz w:val="18"/>
                <w:szCs w:val="18"/>
              </w:rPr>
              <w:t>D</w:t>
            </w:r>
            <w:r w:rsidRPr="00AE38CA">
              <w:rPr>
                <w:rFonts w:ascii="Verdana" w:hAnsi="Verdana"/>
                <w:sz w:val="18"/>
                <w:szCs w:val="18"/>
              </w:rPr>
              <w:t>elays in organising educational provision when refugees arrive in large numbers</w:t>
            </w:r>
          </w:p>
          <w:p w14:paraId="7E841644" w14:textId="6076FCE1" w:rsidR="0024387A" w:rsidRPr="00AE38CA" w:rsidRDefault="0024387A" w:rsidP="0024387A">
            <w:pPr>
              <w:rPr>
                <w:rFonts w:ascii="Verdana" w:hAnsi="Verdana"/>
                <w:sz w:val="18"/>
                <w:szCs w:val="18"/>
              </w:rPr>
            </w:pPr>
            <w:r w:rsidRPr="00AE38CA">
              <w:rPr>
                <w:rFonts w:ascii="Verdana" w:hAnsi="Verdana"/>
                <w:sz w:val="18"/>
                <w:szCs w:val="18"/>
              </w:rPr>
              <w:t xml:space="preserve">2. </w:t>
            </w:r>
            <w:r w:rsidR="00D123CC" w:rsidRPr="00AE38CA">
              <w:rPr>
                <w:rFonts w:ascii="Verdana" w:hAnsi="Verdana"/>
                <w:sz w:val="18"/>
                <w:szCs w:val="18"/>
              </w:rPr>
              <w:t>I</w:t>
            </w:r>
            <w:r w:rsidRPr="00AE38CA">
              <w:rPr>
                <w:rFonts w:ascii="Verdana" w:hAnsi="Verdana"/>
                <w:sz w:val="18"/>
                <w:szCs w:val="18"/>
              </w:rPr>
              <w:t>nefficiency in the teaching of refugees.</w:t>
            </w:r>
          </w:p>
        </w:tc>
        <w:tc>
          <w:tcPr>
            <w:tcW w:w="1315" w:type="pct"/>
            <w:tcBorders>
              <w:top w:val="single" w:sz="8" w:space="0" w:color="D9D9D9"/>
              <w:left w:val="nil"/>
              <w:bottom w:val="single" w:sz="8" w:space="0" w:color="D9D9D9"/>
              <w:right w:val="single" w:sz="8" w:space="0" w:color="D9D9D9"/>
            </w:tcBorders>
            <w:shd w:val="clear" w:color="auto" w:fill="F2F2F2"/>
          </w:tcPr>
          <w:p w14:paraId="7DEDFC0A" w14:textId="02B86877" w:rsidR="0024387A" w:rsidRPr="00AE38CA" w:rsidRDefault="0024387A" w:rsidP="0024387A">
            <w:pPr>
              <w:rPr>
                <w:rFonts w:ascii="Verdana" w:hAnsi="Verdana"/>
                <w:sz w:val="18"/>
                <w:szCs w:val="18"/>
              </w:rPr>
            </w:pPr>
            <w:r w:rsidRPr="00AE38CA">
              <w:rPr>
                <w:rFonts w:ascii="Verdana" w:hAnsi="Verdana"/>
                <w:sz w:val="18"/>
                <w:szCs w:val="18"/>
              </w:rPr>
              <w:t xml:space="preserve">1. </w:t>
            </w:r>
            <w:r w:rsidR="00FC3BA2" w:rsidRPr="00AE38CA">
              <w:rPr>
                <w:rFonts w:ascii="Verdana" w:hAnsi="Verdana"/>
                <w:sz w:val="18"/>
                <w:szCs w:val="18"/>
              </w:rPr>
              <w:t>I</w:t>
            </w:r>
            <w:r w:rsidRPr="00AE38CA">
              <w:rPr>
                <w:rFonts w:ascii="Verdana" w:hAnsi="Verdana"/>
                <w:sz w:val="18"/>
                <w:szCs w:val="18"/>
              </w:rPr>
              <w:t>nsufficient support offer for children with complex special needs</w:t>
            </w:r>
          </w:p>
          <w:p w14:paraId="2C572A43" w14:textId="0D0F8368" w:rsidR="0024387A" w:rsidRPr="00AE38CA" w:rsidRDefault="0024387A" w:rsidP="0024387A">
            <w:pPr>
              <w:rPr>
                <w:rFonts w:ascii="Verdana" w:hAnsi="Verdana"/>
                <w:sz w:val="18"/>
                <w:szCs w:val="18"/>
              </w:rPr>
            </w:pPr>
            <w:r w:rsidRPr="00AE38CA">
              <w:rPr>
                <w:rFonts w:ascii="Verdana" w:hAnsi="Verdana"/>
                <w:sz w:val="18"/>
                <w:szCs w:val="18"/>
              </w:rPr>
              <w:t xml:space="preserve">2 </w:t>
            </w:r>
            <w:r w:rsidR="00FC3BA2" w:rsidRPr="00AE38CA">
              <w:rPr>
                <w:rFonts w:ascii="Verdana" w:hAnsi="Verdana"/>
                <w:sz w:val="18"/>
                <w:szCs w:val="18"/>
              </w:rPr>
              <w:t>R</w:t>
            </w:r>
            <w:r w:rsidRPr="00AE38CA">
              <w:rPr>
                <w:rFonts w:ascii="Verdana" w:hAnsi="Verdana"/>
                <w:sz w:val="18"/>
                <w:szCs w:val="18"/>
              </w:rPr>
              <w:t>egional differences in organisation and implementation ‘</w:t>
            </w:r>
            <w:r w:rsidR="007553BE" w:rsidRPr="00AE38CA">
              <w:rPr>
                <w:rFonts w:ascii="Verdana" w:hAnsi="Verdana"/>
                <w:sz w:val="18"/>
                <w:szCs w:val="18"/>
              </w:rPr>
              <w:t xml:space="preserve">appropriate </w:t>
            </w:r>
            <w:r w:rsidRPr="00AE38CA">
              <w:rPr>
                <w:rFonts w:ascii="Verdana" w:hAnsi="Verdana"/>
                <w:sz w:val="18"/>
                <w:szCs w:val="18"/>
              </w:rPr>
              <w:t>education</w:t>
            </w:r>
            <w:r w:rsidR="007553BE" w:rsidRPr="00AE38CA">
              <w:rPr>
                <w:rFonts w:ascii="Verdana" w:hAnsi="Verdana"/>
                <w:sz w:val="18"/>
                <w:szCs w:val="18"/>
              </w:rPr>
              <w:t>’</w:t>
            </w:r>
          </w:p>
        </w:tc>
      </w:tr>
      <w:tr w:rsidR="00186F7D" w:rsidRPr="00AE38CA" w14:paraId="68E50B04" w14:textId="77777777" w:rsidTr="00C01DD9">
        <w:tc>
          <w:tcPr>
            <w:tcW w:w="498" w:type="pct"/>
            <w:vMerge/>
          </w:tcPr>
          <w:p w14:paraId="55F6E3AE" w14:textId="77777777" w:rsidR="0024387A" w:rsidRPr="00AE38CA" w:rsidRDefault="0024387A" w:rsidP="0024387A">
            <w:pPr>
              <w:jc w:val="left"/>
              <w:rPr>
                <w:rFonts w:ascii="Verdana" w:hAnsi="Verdana"/>
                <w:b/>
                <w:sz w:val="20"/>
              </w:rPr>
            </w:pPr>
          </w:p>
        </w:tc>
        <w:tc>
          <w:tcPr>
            <w:tcW w:w="557" w:type="pct"/>
            <w:shd w:val="clear" w:color="auto" w:fill="F2F2F2"/>
          </w:tcPr>
          <w:p w14:paraId="7B896372" w14:textId="77777777" w:rsidR="0024387A" w:rsidRPr="00AE38CA" w:rsidRDefault="0024387A" w:rsidP="0024387A">
            <w:pPr>
              <w:jc w:val="left"/>
              <w:rPr>
                <w:rFonts w:ascii="Verdana" w:hAnsi="Verdana"/>
                <w:b/>
                <w:sz w:val="18"/>
                <w:szCs w:val="18"/>
              </w:rPr>
            </w:pPr>
            <w:r w:rsidRPr="00AE38CA">
              <w:rPr>
                <w:rFonts w:ascii="Verdana" w:hAnsi="Verdana"/>
                <w:b/>
                <w:sz w:val="18"/>
                <w:szCs w:val="18"/>
              </w:rPr>
              <w:t>Priorities for action</w:t>
            </w:r>
          </w:p>
        </w:tc>
        <w:tc>
          <w:tcPr>
            <w:tcW w:w="1315" w:type="pct"/>
            <w:tcBorders>
              <w:top w:val="nil"/>
              <w:left w:val="nil"/>
              <w:bottom w:val="single" w:sz="8" w:space="0" w:color="D9D9D9"/>
              <w:right w:val="single" w:sz="8" w:space="0" w:color="D9D9D9"/>
            </w:tcBorders>
            <w:shd w:val="clear" w:color="auto" w:fill="F2F2F2"/>
          </w:tcPr>
          <w:p w14:paraId="6C910520" w14:textId="42410058" w:rsidR="0024387A" w:rsidRPr="00AE38CA" w:rsidRDefault="0024387A" w:rsidP="0024387A">
            <w:pPr>
              <w:rPr>
                <w:rFonts w:ascii="Verdana" w:hAnsi="Verdana"/>
                <w:sz w:val="18"/>
                <w:szCs w:val="18"/>
              </w:rPr>
            </w:pPr>
            <w:r w:rsidRPr="00AE38CA">
              <w:rPr>
                <w:rFonts w:ascii="Verdana" w:hAnsi="Verdana"/>
                <w:sz w:val="18"/>
                <w:szCs w:val="18"/>
              </w:rPr>
              <w:t>1. Provide local municipalities with tools to combat segregation in education</w:t>
            </w:r>
          </w:p>
          <w:p w14:paraId="0E6095FA" w14:textId="618AD608" w:rsidR="0024387A" w:rsidRPr="00AE38CA" w:rsidRDefault="0024387A" w:rsidP="0024387A">
            <w:pPr>
              <w:rPr>
                <w:rFonts w:ascii="Verdana" w:hAnsi="Verdana"/>
                <w:sz w:val="18"/>
                <w:szCs w:val="18"/>
              </w:rPr>
            </w:pPr>
            <w:r w:rsidRPr="00AE38CA">
              <w:rPr>
                <w:rFonts w:ascii="Verdana" w:hAnsi="Verdana"/>
                <w:sz w:val="18"/>
                <w:szCs w:val="18"/>
              </w:rPr>
              <w:t>2.</w:t>
            </w:r>
            <w:r w:rsidR="00EE67D3" w:rsidRPr="00AE38CA">
              <w:rPr>
                <w:rFonts w:ascii="Verdana" w:hAnsi="Verdana"/>
                <w:sz w:val="18"/>
                <w:szCs w:val="18"/>
              </w:rPr>
              <w:t xml:space="preserve"> R</w:t>
            </w:r>
            <w:r w:rsidRPr="00AE38CA">
              <w:rPr>
                <w:rFonts w:ascii="Verdana" w:hAnsi="Verdana"/>
                <w:sz w:val="18"/>
                <w:szCs w:val="18"/>
              </w:rPr>
              <w:t xml:space="preserve">educe </w:t>
            </w:r>
            <w:r w:rsidR="00EE67D3" w:rsidRPr="00AE38CA">
              <w:rPr>
                <w:rFonts w:ascii="Verdana" w:hAnsi="Verdana"/>
                <w:sz w:val="18"/>
                <w:szCs w:val="18"/>
              </w:rPr>
              <w:t xml:space="preserve">the </w:t>
            </w:r>
            <w:r w:rsidRPr="00AE38CA">
              <w:rPr>
                <w:rFonts w:ascii="Verdana" w:hAnsi="Verdana"/>
                <w:sz w:val="18"/>
                <w:szCs w:val="18"/>
              </w:rPr>
              <w:t>number of children temporarily not receiving formal schooling</w:t>
            </w:r>
          </w:p>
        </w:tc>
        <w:tc>
          <w:tcPr>
            <w:tcW w:w="1315" w:type="pct"/>
            <w:tcBorders>
              <w:top w:val="nil"/>
              <w:left w:val="nil"/>
              <w:bottom w:val="single" w:sz="8" w:space="0" w:color="D9D9D9"/>
              <w:right w:val="single" w:sz="8" w:space="0" w:color="D9D9D9"/>
            </w:tcBorders>
            <w:shd w:val="clear" w:color="auto" w:fill="F2F2F2"/>
          </w:tcPr>
          <w:p w14:paraId="2A665124" w14:textId="4E686F44" w:rsidR="0024387A" w:rsidRPr="00AE38CA" w:rsidRDefault="0024387A" w:rsidP="0024387A">
            <w:pPr>
              <w:rPr>
                <w:rFonts w:ascii="Verdana" w:hAnsi="Verdana"/>
                <w:sz w:val="18"/>
                <w:szCs w:val="18"/>
              </w:rPr>
            </w:pPr>
            <w:r w:rsidRPr="00AE38CA">
              <w:rPr>
                <w:rFonts w:ascii="Verdana" w:hAnsi="Verdana"/>
                <w:sz w:val="18"/>
                <w:szCs w:val="18"/>
              </w:rPr>
              <w:t xml:space="preserve">1. </w:t>
            </w:r>
            <w:r w:rsidR="00451841" w:rsidRPr="00AE38CA">
              <w:rPr>
                <w:rFonts w:ascii="Verdana" w:hAnsi="Verdana"/>
                <w:sz w:val="18"/>
                <w:szCs w:val="18"/>
              </w:rPr>
              <w:t>M</w:t>
            </w:r>
            <w:r w:rsidRPr="00AE38CA">
              <w:rPr>
                <w:rFonts w:ascii="Verdana" w:hAnsi="Verdana"/>
                <w:sz w:val="18"/>
                <w:szCs w:val="18"/>
              </w:rPr>
              <w:t>ore efficient organisation of the education of refugee-children</w:t>
            </w:r>
          </w:p>
        </w:tc>
        <w:tc>
          <w:tcPr>
            <w:tcW w:w="1315" w:type="pct"/>
            <w:tcBorders>
              <w:top w:val="nil"/>
              <w:left w:val="nil"/>
              <w:bottom w:val="single" w:sz="8" w:space="0" w:color="D9D9D9"/>
              <w:right w:val="single" w:sz="8" w:space="0" w:color="D9D9D9"/>
            </w:tcBorders>
            <w:shd w:val="clear" w:color="auto" w:fill="F2F2F2"/>
          </w:tcPr>
          <w:p w14:paraId="2A6622C5" w14:textId="19729F0F" w:rsidR="0024387A" w:rsidRPr="00AE38CA" w:rsidRDefault="0024387A" w:rsidP="0024387A">
            <w:pPr>
              <w:rPr>
                <w:rFonts w:ascii="Verdana" w:hAnsi="Verdana"/>
                <w:sz w:val="18"/>
                <w:szCs w:val="18"/>
              </w:rPr>
            </w:pPr>
            <w:r w:rsidRPr="00AE38CA">
              <w:rPr>
                <w:rFonts w:ascii="Verdana" w:hAnsi="Verdana"/>
                <w:sz w:val="18"/>
                <w:szCs w:val="18"/>
              </w:rPr>
              <w:t xml:space="preserve">1. </w:t>
            </w:r>
            <w:r w:rsidR="00AD4EAE" w:rsidRPr="00AE38CA">
              <w:rPr>
                <w:rFonts w:ascii="Verdana" w:hAnsi="Verdana"/>
                <w:sz w:val="18"/>
                <w:szCs w:val="18"/>
              </w:rPr>
              <w:t>M</w:t>
            </w:r>
            <w:r w:rsidRPr="00AE38CA">
              <w:rPr>
                <w:rFonts w:ascii="Verdana" w:hAnsi="Verdana"/>
                <w:sz w:val="18"/>
                <w:szCs w:val="18"/>
              </w:rPr>
              <w:t xml:space="preserve">ore and more variety in support offer </w:t>
            </w:r>
            <w:r w:rsidR="005C23C3" w:rsidRPr="00AE38CA">
              <w:rPr>
                <w:rFonts w:ascii="Verdana" w:hAnsi="Verdana"/>
                <w:sz w:val="18"/>
                <w:szCs w:val="18"/>
              </w:rPr>
              <w:t xml:space="preserve">for </w:t>
            </w:r>
            <w:r w:rsidRPr="00AE38CA">
              <w:rPr>
                <w:rFonts w:ascii="Verdana" w:hAnsi="Verdana"/>
                <w:sz w:val="18"/>
                <w:szCs w:val="18"/>
              </w:rPr>
              <w:t>children with complex special needs</w:t>
            </w:r>
          </w:p>
          <w:p w14:paraId="3243AA32" w14:textId="2B12EF48" w:rsidR="0024387A" w:rsidRPr="00AE38CA" w:rsidRDefault="0024387A" w:rsidP="0024387A">
            <w:pPr>
              <w:rPr>
                <w:rFonts w:ascii="Verdana" w:hAnsi="Verdana"/>
                <w:sz w:val="18"/>
                <w:szCs w:val="18"/>
              </w:rPr>
            </w:pPr>
            <w:r w:rsidRPr="00AE38CA">
              <w:rPr>
                <w:rFonts w:ascii="Verdana" w:hAnsi="Verdana"/>
                <w:sz w:val="18"/>
                <w:szCs w:val="18"/>
              </w:rPr>
              <w:t xml:space="preserve">2. </w:t>
            </w:r>
            <w:r w:rsidR="00AD4EAE" w:rsidRPr="00AE38CA">
              <w:rPr>
                <w:rFonts w:ascii="Verdana" w:hAnsi="Verdana"/>
                <w:sz w:val="18"/>
                <w:szCs w:val="18"/>
              </w:rPr>
              <w:t>F</w:t>
            </w:r>
            <w:r w:rsidRPr="00AE38CA">
              <w:rPr>
                <w:rFonts w:ascii="Verdana" w:hAnsi="Verdana"/>
                <w:sz w:val="18"/>
                <w:szCs w:val="18"/>
              </w:rPr>
              <w:t xml:space="preserve">urther elaboration </w:t>
            </w:r>
            <w:r w:rsidR="005C23C3" w:rsidRPr="00AE38CA">
              <w:rPr>
                <w:rFonts w:ascii="Verdana" w:hAnsi="Verdana"/>
                <w:sz w:val="18"/>
                <w:szCs w:val="18"/>
              </w:rPr>
              <w:t xml:space="preserve">of </w:t>
            </w:r>
            <w:r w:rsidRPr="00AE38CA">
              <w:rPr>
                <w:rFonts w:ascii="Verdana" w:hAnsi="Verdana"/>
                <w:sz w:val="18"/>
                <w:szCs w:val="18"/>
              </w:rPr>
              <w:t>governance</w:t>
            </w:r>
            <w:r w:rsidR="005C23C3" w:rsidRPr="00AE38CA">
              <w:rPr>
                <w:rFonts w:ascii="Verdana" w:hAnsi="Verdana"/>
                <w:sz w:val="18"/>
                <w:szCs w:val="18"/>
              </w:rPr>
              <w:t xml:space="preserve"> of</w:t>
            </w:r>
            <w:r w:rsidRPr="00AE38CA">
              <w:rPr>
                <w:rFonts w:ascii="Verdana" w:hAnsi="Verdana"/>
                <w:sz w:val="18"/>
                <w:szCs w:val="18"/>
              </w:rPr>
              <w:t xml:space="preserve"> regional partnerships ‘</w:t>
            </w:r>
            <w:r w:rsidR="001E4502" w:rsidRPr="00AE38CA">
              <w:rPr>
                <w:rFonts w:ascii="Verdana" w:hAnsi="Verdana"/>
                <w:sz w:val="18"/>
                <w:szCs w:val="18"/>
              </w:rPr>
              <w:t>appropriate education</w:t>
            </w:r>
            <w:r w:rsidRPr="00AE38CA">
              <w:rPr>
                <w:rFonts w:ascii="Verdana" w:hAnsi="Verdana"/>
                <w:sz w:val="18"/>
                <w:szCs w:val="18"/>
              </w:rPr>
              <w:t>’.</w:t>
            </w:r>
          </w:p>
        </w:tc>
      </w:tr>
      <w:tr w:rsidR="000A56CF" w:rsidRPr="00AE38CA" w14:paraId="54D66F7D" w14:textId="77777777" w:rsidTr="00C01DD9">
        <w:tc>
          <w:tcPr>
            <w:tcW w:w="498" w:type="pct"/>
            <w:vMerge w:val="restart"/>
            <w:shd w:val="clear" w:color="auto" w:fill="F2F2F2"/>
            <w:vAlign w:val="center"/>
          </w:tcPr>
          <w:p w14:paraId="35E483E7" w14:textId="671F6D0E" w:rsidR="0024387A" w:rsidRPr="00AE38CA" w:rsidRDefault="0024387A" w:rsidP="0024387A">
            <w:pPr>
              <w:jc w:val="left"/>
              <w:rPr>
                <w:rFonts w:ascii="Verdana" w:hAnsi="Verdana"/>
                <w:b/>
                <w:sz w:val="20"/>
              </w:rPr>
            </w:pPr>
            <w:r w:rsidRPr="00AE38CA">
              <w:rPr>
                <w:rFonts w:ascii="Verdana" w:hAnsi="Verdana"/>
                <w:b/>
                <w:sz w:val="20"/>
              </w:rPr>
              <w:lastRenderedPageBreak/>
              <w:t>Free health</w:t>
            </w:r>
            <w:r w:rsidR="00476870" w:rsidRPr="00AE38CA">
              <w:rPr>
                <w:rFonts w:ascii="Verdana" w:hAnsi="Verdana"/>
                <w:b/>
                <w:sz w:val="20"/>
              </w:rPr>
              <w:t xml:space="preserve"> </w:t>
            </w:r>
            <w:r w:rsidRPr="00AE38CA">
              <w:rPr>
                <w:rFonts w:ascii="Verdana" w:hAnsi="Verdana"/>
                <w:b/>
                <w:sz w:val="20"/>
              </w:rPr>
              <w:t>care</w:t>
            </w:r>
          </w:p>
        </w:tc>
        <w:tc>
          <w:tcPr>
            <w:tcW w:w="557" w:type="pct"/>
            <w:shd w:val="clear" w:color="auto" w:fill="F2F2F2"/>
          </w:tcPr>
          <w:p w14:paraId="1AA4FA87" w14:textId="77777777" w:rsidR="0024387A" w:rsidRPr="00AE38CA" w:rsidRDefault="0024387A" w:rsidP="0024387A">
            <w:pPr>
              <w:jc w:val="left"/>
              <w:rPr>
                <w:rFonts w:ascii="Verdana" w:hAnsi="Verdana"/>
                <w:b/>
                <w:sz w:val="18"/>
                <w:szCs w:val="18"/>
              </w:rPr>
            </w:pPr>
            <w:r w:rsidRPr="00AE38CA">
              <w:rPr>
                <w:rFonts w:ascii="Verdana" w:hAnsi="Verdana"/>
                <w:b/>
                <w:sz w:val="18"/>
                <w:szCs w:val="18"/>
              </w:rPr>
              <w:t>Main barriers &amp; weaknesses</w:t>
            </w:r>
          </w:p>
        </w:tc>
        <w:tc>
          <w:tcPr>
            <w:tcW w:w="1315" w:type="pct"/>
            <w:shd w:val="clear" w:color="auto" w:fill="F2F2F2"/>
          </w:tcPr>
          <w:p w14:paraId="33381553" w14:textId="77777777" w:rsidR="0024387A" w:rsidRPr="00AE38CA" w:rsidRDefault="0024387A" w:rsidP="0024387A">
            <w:pPr>
              <w:rPr>
                <w:rFonts w:ascii="Verdana" w:hAnsi="Verdana"/>
                <w:sz w:val="18"/>
                <w:szCs w:val="18"/>
              </w:rPr>
            </w:pPr>
            <w:r w:rsidRPr="00AE38CA">
              <w:rPr>
                <w:rFonts w:ascii="Verdana" w:hAnsi="Verdana"/>
                <w:sz w:val="18"/>
                <w:szCs w:val="18"/>
              </w:rPr>
              <w:t>1. The absence of a national strategy to specifically target this target group</w:t>
            </w:r>
          </w:p>
          <w:p w14:paraId="1BCCAEB8" w14:textId="419CF932" w:rsidR="0024387A" w:rsidRPr="00AE38CA" w:rsidRDefault="0024387A" w:rsidP="0024387A">
            <w:pPr>
              <w:rPr>
                <w:rFonts w:ascii="Verdana" w:hAnsi="Verdana"/>
                <w:sz w:val="18"/>
                <w:szCs w:val="18"/>
              </w:rPr>
            </w:pPr>
            <w:r w:rsidRPr="00AE38CA">
              <w:rPr>
                <w:rFonts w:ascii="Verdana" w:hAnsi="Verdana"/>
                <w:sz w:val="18"/>
                <w:szCs w:val="18"/>
              </w:rPr>
              <w:t xml:space="preserve">2. The accessibility of care and the quality of care </w:t>
            </w:r>
            <w:r w:rsidR="0087242E" w:rsidRPr="00AE38CA">
              <w:rPr>
                <w:rFonts w:ascii="Verdana" w:hAnsi="Verdana"/>
                <w:sz w:val="18"/>
                <w:szCs w:val="18"/>
              </w:rPr>
              <w:t xml:space="preserve">may </w:t>
            </w:r>
            <w:r w:rsidRPr="00AE38CA">
              <w:rPr>
                <w:rFonts w:ascii="Verdana" w:hAnsi="Verdana"/>
                <w:sz w:val="18"/>
                <w:szCs w:val="18"/>
              </w:rPr>
              <w:t>vary, depending on the local municipality where the child resides</w:t>
            </w:r>
          </w:p>
          <w:p w14:paraId="16577EA5" w14:textId="45DC063A" w:rsidR="0024387A" w:rsidRPr="00AE38CA" w:rsidRDefault="0024387A" w:rsidP="0024387A">
            <w:pPr>
              <w:rPr>
                <w:rFonts w:ascii="Verdana" w:hAnsi="Verdana"/>
                <w:sz w:val="18"/>
                <w:szCs w:val="18"/>
              </w:rPr>
            </w:pPr>
            <w:r w:rsidRPr="00AE38CA">
              <w:rPr>
                <w:rFonts w:ascii="Verdana" w:hAnsi="Verdana"/>
                <w:sz w:val="18"/>
                <w:szCs w:val="18"/>
              </w:rPr>
              <w:t>3. Children mainly depend on the parent</w:t>
            </w:r>
            <w:r w:rsidR="00451841" w:rsidRPr="00AE38CA">
              <w:rPr>
                <w:rFonts w:ascii="Verdana" w:hAnsi="Verdana"/>
                <w:sz w:val="18"/>
                <w:szCs w:val="18"/>
              </w:rPr>
              <w:t>s</w:t>
            </w:r>
            <w:r w:rsidRPr="00AE38CA">
              <w:rPr>
                <w:rFonts w:ascii="Verdana" w:hAnsi="Verdana"/>
                <w:sz w:val="18"/>
                <w:szCs w:val="18"/>
              </w:rPr>
              <w:t>’ financial ability to pay insurance to access health</w:t>
            </w:r>
            <w:r w:rsidR="0087242E" w:rsidRPr="00AE38CA">
              <w:rPr>
                <w:rFonts w:ascii="Verdana" w:hAnsi="Verdana"/>
                <w:sz w:val="18"/>
                <w:szCs w:val="18"/>
              </w:rPr>
              <w:t xml:space="preserve"> </w:t>
            </w:r>
            <w:r w:rsidRPr="00AE38CA">
              <w:rPr>
                <w:rFonts w:ascii="Verdana" w:hAnsi="Verdana"/>
                <w:sz w:val="18"/>
                <w:szCs w:val="18"/>
              </w:rPr>
              <w:t xml:space="preserve">care services. </w:t>
            </w:r>
          </w:p>
        </w:tc>
        <w:tc>
          <w:tcPr>
            <w:tcW w:w="1315" w:type="pct"/>
            <w:shd w:val="clear" w:color="auto" w:fill="F2F2F2"/>
          </w:tcPr>
          <w:p w14:paraId="05C88EA3" w14:textId="7662DF24" w:rsidR="0024387A" w:rsidRPr="00AE38CA" w:rsidRDefault="0024387A" w:rsidP="0024387A">
            <w:pPr>
              <w:rPr>
                <w:rFonts w:ascii="Verdana" w:hAnsi="Verdana"/>
                <w:sz w:val="18"/>
                <w:szCs w:val="18"/>
              </w:rPr>
            </w:pPr>
            <w:r w:rsidRPr="00AE38CA">
              <w:rPr>
                <w:rFonts w:ascii="Verdana" w:hAnsi="Verdana"/>
                <w:sz w:val="18"/>
                <w:szCs w:val="18"/>
              </w:rPr>
              <w:t>1. The accessibility of care and the quality of care can vary, depending on the local municipality where the child resides</w:t>
            </w:r>
          </w:p>
          <w:p w14:paraId="35A24374" w14:textId="24E7B551" w:rsidR="0024387A" w:rsidRPr="00AE38CA" w:rsidRDefault="0024387A" w:rsidP="0024387A">
            <w:pPr>
              <w:rPr>
                <w:rFonts w:ascii="Verdana" w:hAnsi="Verdana"/>
                <w:sz w:val="18"/>
                <w:szCs w:val="18"/>
              </w:rPr>
            </w:pPr>
            <w:r w:rsidRPr="00AE38CA">
              <w:rPr>
                <w:rFonts w:ascii="Verdana" w:hAnsi="Verdana"/>
                <w:sz w:val="18"/>
                <w:szCs w:val="18"/>
              </w:rPr>
              <w:t>2. Children mainly depend on the parent</w:t>
            </w:r>
            <w:r w:rsidR="00451841" w:rsidRPr="00AE38CA">
              <w:rPr>
                <w:rFonts w:ascii="Verdana" w:hAnsi="Verdana"/>
                <w:sz w:val="18"/>
                <w:szCs w:val="18"/>
              </w:rPr>
              <w:t>s</w:t>
            </w:r>
            <w:r w:rsidRPr="00AE38CA">
              <w:rPr>
                <w:rFonts w:ascii="Verdana" w:hAnsi="Verdana"/>
                <w:sz w:val="18"/>
                <w:szCs w:val="18"/>
              </w:rPr>
              <w:t>’ financial ability to pay insurance to access health</w:t>
            </w:r>
            <w:r w:rsidR="00BF611D" w:rsidRPr="00AE38CA">
              <w:rPr>
                <w:rFonts w:ascii="Verdana" w:hAnsi="Verdana"/>
                <w:sz w:val="18"/>
                <w:szCs w:val="18"/>
              </w:rPr>
              <w:t xml:space="preserve"> </w:t>
            </w:r>
            <w:r w:rsidRPr="00AE38CA">
              <w:rPr>
                <w:rFonts w:ascii="Verdana" w:hAnsi="Verdana"/>
                <w:sz w:val="18"/>
                <w:szCs w:val="18"/>
              </w:rPr>
              <w:t>care services.</w:t>
            </w:r>
          </w:p>
        </w:tc>
        <w:tc>
          <w:tcPr>
            <w:tcW w:w="1315" w:type="pct"/>
            <w:shd w:val="clear" w:color="auto" w:fill="F2F2F2"/>
          </w:tcPr>
          <w:p w14:paraId="4ADC2B6F" w14:textId="77777777" w:rsidR="0024387A" w:rsidRPr="00AE38CA" w:rsidRDefault="0024387A" w:rsidP="0024387A">
            <w:pPr>
              <w:rPr>
                <w:rFonts w:ascii="Verdana" w:hAnsi="Verdana"/>
                <w:sz w:val="18"/>
                <w:szCs w:val="18"/>
              </w:rPr>
            </w:pPr>
            <w:r w:rsidRPr="00AE38CA">
              <w:rPr>
                <w:rFonts w:ascii="Verdana" w:hAnsi="Verdana"/>
                <w:sz w:val="18"/>
                <w:szCs w:val="18"/>
              </w:rPr>
              <w:t>1. The absence of a national strategy to specifically target this target group</w:t>
            </w:r>
          </w:p>
          <w:p w14:paraId="7B7B13D1" w14:textId="30495498" w:rsidR="0024387A" w:rsidRPr="00AE38CA" w:rsidRDefault="0024387A" w:rsidP="0024387A">
            <w:pPr>
              <w:rPr>
                <w:rFonts w:ascii="Verdana" w:hAnsi="Verdana"/>
                <w:sz w:val="18"/>
                <w:szCs w:val="18"/>
              </w:rPr>
            </w:pPr>
            <w:r w:rsidRPr="00AE38CA">
              <w:rPr>
                <w:rFonts w:ascii="Verdana" w:hAnsi="Verdana"/>
                <w:sz w:val="18"/>
                <w:szCs w:val="18"/>
              </w:rPr>
              <w:t xml:space="preserve">2. The accessibility of care and the quality of care </w:t>
            </w:r>
            <w:r w:rsidR="00E85A58" w:rsidRPr="00AE38CA">
              <w:rPr>
                <w:rFonts w:ascii="Verdana" w:hAnsi="Verdana"/>
                <w:sz w:val="18"/>
                <w:szCs w:val="18"/>
              </w:rPr>
              <w:t>may</w:t>
            </w:r>
            <w:r w:rsidRPr="00AE38CA">
              <w:rPr>
                <w:rFonts w:ascii="Verdana" w:hAnsi="Verdana"/>
                <w:sz w:val="18"/>
                <w:szCs w:val="18"/>
              </w:rPr>
              <w:t xml:space="preserve"> vary, depending on the local municipality where the child resides</w:t>
            </w:r>
          </w:p>
          <w:p w14:paraId="2D0285DE" w14:textId="68239A86" w:rsidR="0024387A" w:rsidRPr="00AE38CA" w:rsidRDefault="0024387A" w:rsidP="0024387A">
            <w:pPr>
              <w:rPr>
                <w:rFonts w:ascii="Verdana" w:hAnsi="Verdana"/>
                <w:sz w:val="18"/>
                <w:szCs w:val="18"/>
              </w:rPr>
            </w:pPr>
            <w:r w:rsidRPr="00AE38CA">
              <w:rPr>
                <w:rFonts w:ascii="Verdana" w:hAnsi="Verdana"/>
                <w:sz w:val="18"/>
                <w:szCs w:val="18"/>
              </w:rPr>
              <w:t xml:space="preserve">3. Children mainly depend on the parent’s financial ability to pay insurance </w:t>
            </w:r>
            <w:r w:rsidR="00E85A58" w:rsidRPr="00AE38CA">
              <w:rPr>
                <w:rFonts w:ascii="Verdana" w:hAnsi="Verdana"/>
                <w:sz w:val="18"/>
                <w:szCs w:val="18"/>
              </w:rPr>
              <w:t xml:space="preserve">to </w:t>
            </w:r>
            <w:r w:rsidRPr="00AE38CA">
              <w:rPr>
                <w:rFonts w:ascii="Verdana" w:hAnsi="Verdana"/>
                <w:sz w:val="18"/>
                <w:szCs w:val="18"/>
              </w:rPr>
              <w:t>access health</w:t>
            </w:r>
            <w:r w:rsidR="00E85A58" w:rsidRPr="00AE38CA">
              <w:rPr>
                <w:rFonts w:ascii="Verdana" w:hAnsi="Verdana"/>
                <w:sz w:val="18"/>
                <w:szCs w:val="18"/>
              </w:rPr>
              <w:t xml:space="preserve"> </w:t>
            </w:r>
            <w:r w:rsidRPr="00AE38CA">
              <w:rPr>
                <w:rFonts w:ascii="Verdana" w:hAnsi="Verdana"/>
                <w:sz w:val="18"/>
                <w:szCs w:val="18"/>
              </w:rPr>
              <w:t xml:space="preserve">care services. </w:t>
            </w:r>
          </w:p>
        </w:tc>
      </w:tr>
      <w:tr w:rsidR="000A56CF" w:rsidRPr="00AE38CA" w14:paraId="1C6D5A0A" w14:textId="77777777" w:rsidTr="00C01DD9">
        <w:tc>
          <w:tcPr>
            <w:tcW w:w="498" w:type="pct"/>
            <w:vMerge/>
            <w:vAlign w:val="center"/>
          </w:tcPr>
          <w:p w14:paraId="417FE015" w14:textId="77777777" w:rsidR="0024387A" w:rsidRPr="00AE38CA" w:rsidRDefault="0024387A" w:rsidP="0024387A">
            <w:pPr>
              <w:jc w:val="left"/>
              <w:rPr>
                <w:rFonts w:ascii="Verdana" w:hAnsi="Verdana"/>
                <w:b/>
                <w:sz w:val="18"/>
                <w:szCs w:val="18"/>
              </w:rPr>
            </w:pPr>
          </w:p>
        </w:tc>
        <w:tc>
          <w:tcPr>
            <w:tcW w:w="557" w:type="pct"/>
            <w:shd w:val="clear" w:color="auto" w:fill="F2F2F2"/>
          </w:tcPr>
          <w:p w14:paraId="61C45F04" w14:textId="77777777" w:rsidR="0024387A" w:rsidRPr="00AE38CA" w:rsidRDefault="0024387A" w:rsidP="0024387A">
            <w:pPr>
              <w:jc w:val="left"/>
              <w:rPr>
                <w:rFonts w:ascii="Verdana" w:hAnsi="Verdana"/>
                <w:b/>
                <w:sz w:val="18"/>
                <w:szCs w:val="18"/>
              </w:rPr>
            </w:pPr>
            <w:r w:rsidRPr="00AE38CA">
              <w:rPr>
                <w:rFonts w:ascii="Verdana" w:hAnsi="Verdana"/>
                <w:b/>
                <w:sz w:val="18"/>
                <w:szCs w:val="18"/>
              </w:rPr>
              <w:t>Priorities for action</w:t>
            </w:r>
          </w:p>
        </w:tc>
        <w:tc>
          <w:tcPr>
            <w:tcW w:w="1315" w:type="pct"/>
            <w:shd w:val="clear" w:color="auto" w:fill="F2F2F2"/>
          </w:tcPr>
          <w:p w14:paraId="65B6F7BA" w14:textId="75280C95" w:rsidR="0024387A" w:rsidRPr="00AE38CA" w:rsidRDefault="0024387A" w:rsidP="00225A0B">
            <w:pPr>
              <w:rPr>
                <w:rFonts w:ascii="Verdana" w:hAnsi="Verdana"/>
                <w:sz w:val="18"/>
                <w:szCs w:val="18"/>
              </w:rPr>
            </w:pPr>
            <w:r w:rsidRPr="00AE38CA">
              <w:rPr>
                <w:rFonts w:ascii="Verdana" w:hAnsi="Verdana"/>
                <w:sz w:val="18"/>
                <w:szCs w:val="18"/>
              </w:rPr>
              <w:t>1. Provide local municipalities with the right tools and knowledge to provide appropriate health</w:t>
            </w:r>
            <w:r w:rsidR="00834A45" w:rsidRPr="00AE38CA">
              <w:rPr>
                <w:rFonts w:ascii="Verdana" w:hAnsi="Verdana"/>
                <w:sz w:val="18"/>
                <w:szCs w:val="18"/>
              </w:rPr>
              <w:t xml:space="preserve"> </w:t>
            </w:r>
            <w:r w:rsidRPr="00AE38CA">
              <w:rPr>
                <w:rFonts w:ascii="Verdana" w:hAnsi="Verdana"/>
                <w:sz w:val="18"/>
                <w:szCs w:val="18"/>
              </w:rPr>
              <w:t>care services to children and families with complex health needs</w:t>
            </w:r>
          </w:p>
        </w:tc>
        <w:tc>
          <w:tcPr>
            <w:tcW w:w="1315" w:type="pct"/>
            <w:shd w:val="clear" w:color="auto" w:fill="F2F2F2"/>
          </w:tcPr>
          <w:p w14:paraId="374A7B74" w14:textId="1619D207" w:rsidR="0024387A" w:rsidRPr="00AE38CA" w:rsidRDefault="0024387A" w:rsidP="00225A0B">
            <w:pPr>
              <w:rPr>
                <w:rFonts w:ascii="Verdana" w:hAnsi="Verdana"/>
                <w:sz w:val="18"/>
                <w:szCs w:val="18"/>
              </w:rPr>
            </w:pPr>
            <w:r w:rsidRPr="00AE38CA">
              <w:rPr>
                <w:rFonts w:ascii="Verdana" w:hAnsi="Verdana"/>
                <w:sz w:val="18"/>
                <w:szCs w:val="18"/>
              </w:rPr>
              <w:t>1. Provide local municipalities with the right tools and knowledge to provide appropriate health</w:t>
            </w:r>
            <w:r w:rsidR="00BF611D" w:rsidRPr="00AE38CA">
              <w:rPr>
                <w:rFonts w:ascii="Verdana" w:hAnsi="Verdana"/>
                <w:sz w:val="18"/>
                <w:szCs w:val="18"/>
              </w:rPr>
              <w:t xml:space="preserve"> </w:t>
            </w:r>
            <w:r w:rsidRPr="00AE38CA">
              <w:rPr>
                <w:rFonts w:ascii="Verdana" w:hAnsi="Verdana"/>
                <w:sz w:val="18"/>
                <w:szCs w:val="18"/>
              </w:rPr>
              <w:t>care services to children and families with complex health needs</w:t>
            </w:r>
          </w:p>
        </w:tc>
        <w:tc>
          <w:tcPr>
            <w:tcW w:w="1315" w:type="pct"/>
            <w:shd w:val="clear" w:color="auto" w:fill="F2F2F2"/>
          </w:tcPr>
          <w:p w14:paraId="3F6EE5A9" w14:textId="1AB9EE7E" w:rsidR="0024387A" w:rsidRPr="00AE38CA" w:rsidRDefault="0024387A" w:rsidP="00225A0B">
            <w:pPr>
              <w:rPr>
                <w:rFonts w:ascii="Verdana" w:hAnsi="Verdana"/>
                <w:sz w:val="18"/>
                <w:szCs w:val="18"/>
              </w:rPr>
            </w:pPr>
            <w:r w:rsidRPr="00AE38CA">
              <w:rPr>
                <w:rFonts w:ascii="Verdana" w:hAnsi="Verdana"/>
                <w:sz w:val="18"/>
                <w:szCs w:val="18"/>
              </w:rPr>
              <w:t>1. Provide local municipalities with the right tools and knowledge to provide appropriate health</w:t>
            </w:r>
            <w:r w:rsidR="00F46E63" w:rsidRPr="00AE38CA">
              <w:rPr>
                <w:rFonts w:ascii="Verdana" w:hAnsi="Verdana"/>
                <w:sz w:val="18"/>
                <w:szCs w:val="18"/>
              </w:rPr>
              <w:t xml:space="preserve"> </w:t>
            </w:r>
            <w:r w:rsidRPr="00AE38CA">
              <w:rPr>
                <w:rFonts w:ascii="Verdana" w:hAnsi="Verdana"/>
                <w:sz w:val="18"/>
                <w:szCs w:val="18"/>
              </w:rPr>
              <w:t>care services to children and families with complex health needs</w:t>
            </w:r>
          </w:p>
        </w:tc>
      </w:tr>
      <w:tr w:rsidR="000A56CF" w:rsidRPr="00AE38CA" w14:paraId="48E2435A" w14:textId="77777777" w:rsidTr="00C01DD9">
        <w:tc>
          <w:tcPr>
            <w:tcW w:w="498" w:type="pct"/>
            <w:vMerge w:val="restart"/>
            <w:shd w:val="clear" w:color="auto" w:fill="F2F2F2"/>
            <w:vAlign w:val="center"/>
          </w:tcPr>
          <w:p w14:paraId="2A23FCB6" w14:textId="77777777" w:rsidR="0024387A" w:rsidRPr="00AE38CA" w:rsidRDefault="0024387A" w:rsidP="0024387A">
            <w:pPr>
              <w:jc w:val="left"/>
              <w:rPr>
                <w:rFonts w:ascii="Verdana" w:hAnsi="Verdana"/>
                <w:b/>
                <w:sz w:val="20"/>
              </w:rPr>
            </w:pPr>
            <w:r w:rsidRPr="00AE38CA">
              <w:rPr>
                <w:rFonts w:ascii="Verdana" w:hAnsi="Verdana"/>
                <w:b/>
                <w:sz w:val="20"/>
              </w:rPr>
              <w:t>Decent Housing</w:t>
            </w:r>
          </w:p>
        </w:tc>
        <w:tc>
          <w:tcPr>
            <w:tcW w:w="557" w:type="pct"/>
            <w:shd w:val="clear" w:color="auto" w:fill="F2F2F2"/>
          </w:tcPr>
          <w:p w14:paraId="41A2AC1B" w14:textId="77777777" w:rsidR="0024387A" w:rsidRPr="00AE38CA" w:rsidRDefault="0024387A" w:rsidP="0024387A">
            <w:pPr>
              <w:rPr>
                <w:rFonts w:ascii="Verdana" w:hAnsi="Verdana"/>
                <w:b/>
                <w:sz w:val="18"/>
                <w:szCs w:val="18"/>
              </w:rPr>
            </w:pPr>
            <w:r w:rsidRPr="00AE38CA">
              <w:rPr>
                <w:rFonts w:ascii="Verdana" w:hAnsi="Verdana"/>
                <w:b/>
                <w:sz w:val="18"/>
                <w:szCs w:val="18"/>
              </w:rPr>
              <w:t>Main barriers &amp; weaknesses</w:t>
            </w:r>
          </w:p>
        </w:tc>
        <w:tc>
          <w:tcPr>
            <w:tcW w:w="1315" w:type="pct"/>
            <w:shd w:val="clear" w:color="auto" w:fill="F2F2F2"/>
          </w:tcPr>
          <w:p w14:paraId="1FB1F764" w14:textId="77777777" w:rsidR="00C01DD9" w:rsidRPr="00AE38CA" w:rsidRDefault="00C01DD9" w:rsidP="00C01DD9">
            <w:pPr>
              <w:rPr>
                <w:rFonts w:ascii="Verdana" w:hAnsi="Verdana"/>
                <w:sz w:val="18"/>
                <w:szCs w:val="18"/>
              </w:rPr>
            </w:pPr>
            <w:r w:rsidRPr="00AE38CA">
              <w:rPr>
                <w:rFonts w:ascii="Verdana" w:hAnsi="Verdana"/>
                <w:sz w:val="18"/>
                <w:szCs w:val="18"/>
              </w:rPr>
              <w:t>1. Insufficiently available social rental housing</w:t>
            </w:r>
          </w:p>
          <w:p w14:paraId="096C8050" w14:textId="1663708A" w:rsidR="00C01DD9" w:rsidRPr="00AE38CA" w:rsidRDefault="00C01DD9" w:rsidP="00C01DD9">
            <w:pPr>
              <w:rPr>
                <w:rFonts w:ascii="Verdana" w:hAnsi="Verdana"/>
                <w:sz w:val="18"/>
                <w:szCs w:val="18"/>
              </w:rPr>
            </w:pPr>
            <w:r w:rsidRPr="00AE38CA">
              <w:rPr>
                <w:rFonts w:ascii="Verdana" w:hAnsi="Verdana"/>
                <w:sz w:val="18"/>
                <w:szCs w:val="18"/>
              </w:rPr>
              <w:t xml:space="preserve">2. No general policy for families with children in case of eviction caused by, for example, debt problems. Home evictions may be prevented through early detection by </w:t>
            </w:r>
            <w:r w:rsidR="00264E97" w:rsidRPr="00AE38CA">
              <w:rPr>
                <w:rFonts w:ascii="Verdana" w:hAnsi="Verdana"/>
                <w:sz w:val="18"/>
                <w:szCs w:val="18"/>
              </w:rPr>
              <w:t xml:space="preserve">social </w:t>
            </w:r>
            <w:r w:rsidRPr="00AE38CA">
              <w:rPr>
                <w:rFonts w:ascii="Verdana" w:hAnsi="Verdana"/>
                <w:sz w:val="18"/>
                <w:szCs w:val="18"/>
              </w:rPr>
              <w:t>neighbourhood teams</w:t>
            </w:r>
          </w:p>
          <w:p w14:paraId="72399FCA" w14:textId="22832D65" w:rsidR="0024387A" w:rsidRPr="00AE38CA" w:rsidRDefault="00C01DD9" w:rsidP="0024387A">
            <w:pPr>
              <w:rPr>
                <w:rFonts w:ascii="Verdana" w:hAnsi="Verdana"/>
                <w:sz w:val="18"/>
                <w:szCs w:val="18"/>
              </w:rPr>
            </w:pPr>
            <w:r w:rsidRPr="00AE38CA">
              <w:rPr>
                <w:rFonts w:ascii="Verdana" w:hAnsi="Verdana"/>
                <w:sz w:val="18"/>
                <w:szCs w:val="18"/>
              </w:rPr>
              <w:t xml:space="preserve">3. In case of home eviction children are sometimes separated from their parents if there is no emergency family accommodation available </w:t>
            </w:r>
          </w:p>
        </w:tc>
        <w:tc>
          <w:tcPr>
            <w:tcW w:w="1315" w:type="pct"/>
            <w:shd w:val="clear" w:color="auto" w:fill="F2F2F2"/>
          </w:tcPr>
          <w:p w14:paraId="27B3F375" w14:textId="6FE1D5C7" w:rsidR="0024387A" w:rsidRPr="00AE38CA" w:rsidRDefault="00C01DD9" w:rsidP="0024387A">
            <w:pPr>
              <w:rPr>
                <w:rFonts w:ascii="Verdana" w:hAnsi="Verdana"/>
                <w:sz w:val="18"/>
                <w:szCs w:val="18"/>
              </w:rPr>
            </w:pPr>
            <w:r w:rsidRPr="00AE38CA">
              <w:rPr>
                <w:rFonts w:ascii="Verdana" w:hAnsi="Verdana"/>
                <w:sz w:val="18"/>
                <w:szCs w:val="18"/>
              </w:rPr>
              <w:t>1. Insufficient availability of social rental housing: priority for immigrants is being questioned</w:t>
            </w:r>
          </w:p>
        </w:tc>
        <w:tc>
          <w:tcPr>
            <w:tcW w:w="1315" w:type="pct"/>
            <w:shd w:val="clear" w:color="auto" w:fill="F2F2F2"/>
          </w:tcPr>
          <w:p w14:paraId="3D8F98B6" w14:textId="4F7A42C4" w:rsidR="0024387A" w:rsidRPr="00AE38CA" w:rsidRDefault="00C01DD9" w:rsidP="00442C28">
            <w:pPr>
              <w:rPr>
                <w:rFonts w:ascii="Verdana" w:hAnsi="Verdana"/>
                <w:sz w:val="18"/>
                <w:szCs w:val="18"/>
              </w:rPr>
            </w:pPr>
            <w:r w:rsidRPr="00AE38CA">
              <w:rPr>
                <w:rFonts w:ascii="Verdana" w:hAnsi="Verdana"/>
                <w:sz w:val="18"/>
                <w:szCs w:val="18"/>
              </w:rPr>
              <w:t>1. Due to scarcity of suitable housing people have limited influence on where they live. Nearness of family / school is therefore no longer self-evident</w:t>
            </w:r>
          </w:p>
        </w:tc>
      </w:tr>
      <w:tr w:rsidR="000A56CF" w:rsidRPr="00AE38CA" w14:paraId="51FCF31A" w14:textId="77777777" w:rsidTr="00C01DD9">
        <w:tc>
          <w:tcPr>
            <w:tcW w:w="498" w:type="pct"/>
            <w:vMerge/>
            <w:vAlign w:val="center"/>
          </w:tcPr>
          <w:p w14:paraId="2B3EA73E" w14:textId="77777777" w:rsidR="0024387A" w:rsidRPr="00AE38CA" w:rsidRDefault="0024387A" w:rsidP="0024387A">
            <w:pPr>
              <w:jc w:val="left"/>
              <w:rPr>
                <w:rFonts w:ascii="Verdana" w:hAnsi="Verdana"/>
                <w:b/>
                <w:sz w:val="20"/>
              </w:rPr>
            </w:pPr>
          </w:p>
        </w:tc>
        <w:tc>
          <w:tcPr>
            <w:tcW w:w="557" w:type="pct"/>
            <w:shd w:val="clear" w:color="auto" w:fill="F2F2F2"/>
          </w:tcPr>
          <w:p w14:paraId="1DA2BD4F" w14:textId="77777777" w:rsidR="0024387A" w:rsidRPr="00AE38CA" w:rsidRDefault="0024387A" w:rsidP="0024387A">
            <w:pPr>
              <w:rPr>
                <w:rFonts w:ascii="Verdana" w:hAnsi="Verdana"/>
                <w:b/>
                <w:sz w:val="18"/>
                <w:szCs w:val="18"/>
              </w:rPr>
            </w:pPr>
            <w:r w:rsidRPr="00AE38CA">
              <w:rPr>
                <w:rFonts w:ascii="Verdana" w:hAnsi="Verdana"/>
                <w:b/>
                <w:sz w:val="18"/>
                <w:szCs w:val="18"/>
              </w:rPr>
              <w:t>Priorities for action</w:t>
            </w:r>
          </w:p>
        </w:tc>
        <w:tc>
          <w:tcPr>
            <w:tcW w:w="1315" w:type="pct"/>
            <w:shd w:val="clear" w:color="auto" w:fill="F2F2F2"/>
          </w:tcPr>
          <w:p w14:paraId="2761C9D9" w14:textId="786F1C4F" w:rsidR="00C01DD9" w:rsidRPr="00AE38CA" w:rsidRDefault="00C01DD9" w:rsidP="00C01DD9">
            <w:pPr>
              <w:rPr>
                <w:rFonts w:ascii="Verdana" w:hAnsi="Verdana"/>
                <w:sz w:val="18"/>
                <w:szCs w:val="18"/>
              </w:rPr>
            </w:pPr>
            <w:r w:rsidRPr="00AE38CA">
              <w:rPr>
                <w:rFonts w:ascii="Verdana" w:hAnsi="Verdana"/>
                <w:sz w:val="18"/>
                <w:szCs w:val="18"/>
              </w:rPr>
              <w:t>1. Ensur</w:t>
            </w:r>
            <w:r w:rsidR="00834A45" w:rsidRPr="00AE38CA">
              <w:rPr>
                <w:rFonts w:ascii="Verdana" w:hAnsi="Verdana"/>
                <w:sz w:val="18"/>
                <w:szCs w:val="18"/>
              </w:rPr>
              <w:t>e</w:t>
            </w:r>
            <w:r w:rsidRPr="00AE38CA">
              <w:rPr>
                <w:rFonts w:ascii="Verdana" w:hAnsi="Verdana"/>
                <w:sz w:val="18"/>
                <w:szCs w:val="18"/>
              </w:rPr>
              <w:t xml:space="preserve"> sufficient available housing so that waiting lists decrease</w:t>
            </w:r>
          </w:p>
          <w:p w14:paraId="472B6F8D" w14:textId="39F0AEFF" w:rsidR="0024387A" w:rsidRPr="00AE38CA" w:rsidRDefault="00C01DD9" w:rsidP="0024387A">
            <w:pPr>
              <w:rPr>
                <w:rFonts w:ascii="Verdana" w:hAnsi="Verdana"/>
                <w:sz w:val="18"/>
                <w:szCs w:val="18"/>
              </w:rPr>
            </w:pPr>
            <w:r w:rsidRPr="00AE38CA">
              <w:rPr>
                <w:rFonts w:ascii="Verdana" w:hAnsi="Verdana"/>
                <w:sz w:val="18"/>
                <w:szCs w:val="18"/>
              </w:rPr>
              <w:t>2. Shar</w:t>
            </w:r>
            <w:r w:rsidR="00BF611D" w:rsidRPr="00AE38CA">
              <w:rPr>
                <w:rFonts w:ascii="Verdana" w:hAnsi="Verdana"/>
                <w:sz w:val="18"/>
                <w:szCs w:val="18"/>
              </w:rPr>
              <w:t>e</w:t>
            </w:r>
            <w:r w:rsidRPr="00AE38CA">
              <w:rPr>
                <w:rFonts w:ascii="Verdana" w:hAnsi="Verdana"/>
                <w:sz w:val="18"/>
                <w:szCs w:val="18"/>
              </w:rPr>
              <w:t xml:space="preserve"> knowledge among</w:t>
            </w:r>
            <w:r w:rsidR="004E26C3" w:rsidRPr="00AE38CA">
              <w:rPr>
                <w:rFonts w:ascii="Verdana" w:hAnsi="Verdana"/>
                <w:sz w:val="18"/>
                <w:szCs w:val="18"/>
              </w:rPr>
              <w:t xml:space="preserve"> social</w:t>
            </w:r>
            <w:r w:rsidRPr="00AE38CA">
              <w:rPr>
                <w:rFonts w:ascii="Verdana" w:hAnsi="Verdana"/>
                <w:sz w:val="18"/>
                <w:szCs w:val="18"/>
              </w:rPr>
              <w:t xml:space="preserve"> neighbourhood teams in order to be </w:t>
            </w:r>
            <w:r w:rsidRPr="00AE38CA">
              <w:rPr>
                <w:rFonts w:ascii="Verdana" w:hAnsi="Verdana"/>
                <w:sz w:val="18"/>
                <w:szCs w:val="18"/>
              </w:rPr>
              <w:lastRenderedPageBreak/>
              <w:t>able to supply appropriate preventive local services that are tailor made</w:t>
            </w:r>
          </w:p>
        </w:tc>
        <w:tc>
          <w:tcPr>
            <w:tcW w:w="1315" w:type="pct"/>
            <w:shd w:val="clear" w:color="auto" w:fill="F2F2F2"/>
          </w:tcPr>
          <w:p w14:paraId="686344B2" w14:textId="33121909" w:rsidR="0024387A" w:rsidRPr="00AE38CA" w:rsidRDefault="00C01DD9" w:rsidP="0024387A">
            <w:pPr>
              <w:rPr>
                <w:rFonts w:ascii="Verdana" w:hAnsi="Verdana"/>
                <w:sz w:val="18"/>
                <w:szCs w:val="18"/>
              </w:rPr>
            </w:pPr>
            <w:r w:rsidRPr="00AE38CA">
              <w:rPr>
                <w:rFonts w:ascii="Verdana" w:hAnsi="Verdana"/>
                <w:sz w:val="18"/>
                <w:szCs w:val="18"/>
              </w:rPr>
              <w:lastRenderedPageBreak/>
              <w:t>1. Ensur</w:t>
            </w:r>
            <w:r w:rsidR="00BF611D" w:rsidRPr="00AE38CA">
              <w:rPr>
                <w:rFonts w:ascii="Verdana" w:hAnsi="Verdana"/>
                <w:sz w:val="18"/>
                <w:szCs w:val="18"/>
              </w:rPr>
              <w:t>e</w:t>
            </w:r>
            <w:r w:rsidRPr="00AE38CA">
              <w:rPr>
                <w:rFonts w:ascii="Verdana" w:hAnsi="Verdana"/>
                <w:sz w:val="18"/>
                <w:szCs w:val="18"/>
              </w:rPr>
              <w:t xml:space="preserve"> sufficient available housing so that waiting lists decrease</w:t>
            </w:r>
          </w:p>
        </w:tc>
        <w:tc>
          <w:tcPr>
            <w:tcW w:w="1315" w:type="pct"/>
            <w:shd w:val="clear" w:color="auto" w:fill="F2F2F2"/>
          </w:tcPr>
          <w:p w14:paraId="434F3DA6" w14:textId="7426F88B" w:rsidR="0024387A" w:rsidRPr="00AE38CA" w:rsidRDefault="00C01DD9" w:rsidP="0024387A">
            <w:pPr>
              <w:rPr>
                <w:rFonts w:ascii="Verdana" w:hAnsi="Verdana"/>
                <w:sz w:val="18"/>
                <w:szCs w:val="18"/>
              </w:rPr>
            </w:pPr>
            <w:r w:rsidRPr="00AE38CA">
              <w:rPr>
                <w:rFonts w:ascii="Verdana" w:hAnsi="Verdana"/>
                <w:sz w:val="18"/>
                <w:szCs w:val="18"/>
              </w:rPr>
              <w:t>1. Ensur</w:t>
            </w:r>
            <w:r w:rsidR="00BF611D" w:rsidRPr="00AE38CA">
              <w:rPr>
                <w:rFonts w:ascii="Verdana" w:hAnsi="Verdana"/>
                <w:sz w:val="18"/>
                <w:szCs w:val="18"/>
              </w:rPr>
              <w:t xml:space="preserve">e </w:t>
            </w:r>
            <w:r w:rsidRPr="00AE38CA">
              <w:rPr>
                <w:rFonts w:ascii="Verdana" w:hAnsi="Verdana"/>
                <w:sz w:val="18"/>
                <w:szCs w:val="18"/>
              </w:rPr>
              <w:t>sufficient available housing so that there are more options</w:t>
            </w:r>
          </w:p>
        </w:tc>
      </w:tr>
      <w:tr w:rsidR="00504A88" w:rsidRPr="00AE38CA" w14:paraId="26B18F72" w14:textId="77777777" w:rsidTr="00C01DD9">
        <w:tc>
          <w:tcPr>
            <w:tcW w:w="498" w:type="pct"/>
            <w:vMerge w:val="restart"/>
            <w:shd w:val="clear" w:color="auto" w:fill="F2F2F2"/>
            <w:vAlign w:val="center"/>
          </w:tcPr>
          <w:p w14:paraId="70071890" w14:textId="77777777" w:rsidR="00504A88" w:rsidRPr="00AE38CA" w:rsidRDefault="00504A88" w:rsidP="00504A88">
            <w:pPr>
              <w:jc w:val="left"/>
              <w:rPr>
                <w:rFonts w:ascii="Verdana" w:hAnsi="Verdana"/>
                <w:b/>
                <w:sz w:val="20"/>
              </w:rPr>
            </w:pPr>
            <w:r w:rsidRPr="00AE38CA">
              <w:rPr>
                <w:rFonts w:ascii="Verdana" w:hAnsi="Verdana"/>
                <w:b/>
                <w:sz w:val="20"/>
              </w:rPr>
              <w:t>Free ECEC</w:t>
            </w:r>
          </w:p>
        </w:tc>
        <w:tc>
          <w:tcPr>
            <w:tcW w:w="557" w:type="pct"/>
            <w:shd w:val="clear" w:color="auto" w:fill="F2F2F2"/>
          </w:tcPr>
          <w:p w14:paraId="5B4650A2" w14:textId="77777777" w:rsidR="00504A88" w:rsidRPr="00AE38CA" w:rsidRDefault="00504A88" w:rsidP="00504A88">
            <w:pPr>
              <w:rPr>
                <w:rFonts w:ascii="Verdana" w:hAnsi="Verdana"/>
                <w:b/>
                <w:sz w:val="18"/>
                <w:szCs w:val="18"/>
              </w:rPr>
            </w:pPr>
            <w:r w:rsidRPr="00AE38CA">
              <w:rPr>
                <w:rFonts w:ascii="Verdana" w:hAnsi="Verdana"/>
                <w:b/>
                <w:sz w:val="18"/>
                <w:szCs w:val="18"/>
              </w:rPr>
              <w:t>Main barriers &amp; weaknesses</w:t>
            </w:r>
          </w:p>
        </w:tc>
        <w:tc>
          <w:tcPr>
            <w:tcW w:w="1315" w:type="pct"/>
            <w:shd w:val="clear" w:color="auto" w:fill="F2F2F2"/>
          </w:tcPr>
          <w:p w14:paraId="33904EAA" w14:textId="1C060F4C" w:rsidR="00504A88" w:rsidRPr="00AE38CA" w:rsidRDefault="00504A88" w:rsidP="00504A88">
            <w:pPr>
              <w:rPr>
                <w:rFonts w:ascii="Verdana" w:hAnsi="Verdana"/>
                <w:sz w:val="18"/>
                <w:szCs w:val="18"/>
              </w:rPr>
            </w:pPr>
            <w:r w:rsidRPr="00AE38CA">
              <w:rPr>
                <w:rFonts w:ascii="Verdana" w:hAnsi="Verdana"/>
                <w:sz w:val="18"/>
                <w:szCs w:val="18"/>
              </w:rPr>
              <w:t xml:space="preserve">1. </w:t>
            </w:r>
            <w:r w:rsidR="00F46E63" w:rsidRPr="00AE38CA">
              <w:rPr>
                <w:rFonts w:ascii="Verdana" w:hAnsi="Verdana"/>
                <w:sz w:val="18"/>
                <w:szCs w:val="18"/>
              </w:rPr>
              <w:t>D</w:t>
            </w:r>
            <w:r w:rsidRPr="00AE38CA">
              <w:rPr>
                <w:rFonts w:ascii="Verdana" w:hAnsi="Verdana"/>
                <w:sz w:val="18"/>
                <w:szCs w:val="18"/>
              </w:rPr>
              <w:t xml:space="preserve">ifferences in access to facilities </w:t>
            </w:r>
            <w:r w:rsidR="00F46E63" w:rsidRPr="00AE38CA">
              <w:rPr>
                <w:rFonts w:ascii="Verdana" w:hAnsi="Verdana"/>
                <w:sz w:val="18"/>
                <w:szCs w:val="18"/>
              </w:rPr>
              <w:t xml:space="preserve">among </w:t>
            </w:r>
            <w:r w:rsidRPr="00AE38CA">
              <w:rPr>
                <w:rFonts w:ascii="Verdana" w:hAnsi="Verdana"/>
                <w:sz w:val="18"/>
                <w:szCs w:val="18"/>
              </w:rPr>
              <w:t>local municipalities</w:t>
            </w:r>
          </w:p>
          <w:p w14:paraId="4226943E" w14:textId="330EE8A5" w:rsidR="00504A88" w:rsidRPr="00AE38CA" w:rsidRDefault="00504A88" w:rsidP="00504A88">
            <w:pPr>
              <w:rPr>
                <w:rFonts w:ascii="Verdana" w:hAnsi="Verdana"/>
                <w:sz w:val="18"/>
                <w:szCs w:val="18"/>
              </w:rPr>
            </w:pPr>
            <w:r w:rsidRPr="00AE38CA">
              <w:rPr>
                <w:rFonts w:ascii="Verdana" w:hAnsi="Verdana"/>
                <w:sz w:val="18"/>
                <w:szCs w:val="18"/>
              </w:rPr>
              <w:t xml:space="preserve">2. </w:t>
            </w:r>
            <w:r w:rsidR="00F46E63" w:rsidRPr="00AE38CA">
              <w:rPr>
                <w:rFonts w:ascii="Verdana" w:hAnsi="Verdana"/>
                <w:sz w:val="18"/>
                <w:szCs w:val="18"/>
              </w:rPr>
              <w:t>W</w:t>
            </w:r>
            <w:r w:rsidRPr="00AE38CA">
              <w:rPr>
                <w:rFonts w:ascii="Verdana" w:hAnsi="Verdana"/>
                <w:sz w:val="18"/>
                <w:szCs w:val="18"/>
              </w:rPr>
              <w:t xml:space="preserve">aiting lists due to shortages in personnel </w:t>
            </w:r>
          </w:p>
          <w:p w14:paraId="5D11E91C" w14:textId="0B1DCA6B" w:rsidR="00504A88" w:rsidRPr="00AE38CA" w:rsidRDefault="00504A88" w:rsidP="00504A88">
            <w:pPr>
              <w:rPr>
                <w:rFonts w:ascii="Verdana" w:hAnsi="Verdana"/>
                <w:sz w:val="18"/>
                <w:szCs w:val="18"/>
              </w:rPr>
            </w:pPr>
            <w:r w:rsidRPr="00AE38CA">
              <w:rPr>
                <w:rFonts w:ascii="Verdana" w:hAnsi="Verdana"/>
                <w:sz w:val="18"/>
                <w:szCs w:val="18"/>
              </w:rPr>
              <w:t xml:space="preserve">3. </w:t>
            </w:r>
            <w:r w:rsidR="009470F2" w:rsidRPr="00AE38CA">
              <w:rPr>
                <w:rFonts w:ascii="Verdana" w:hAnsi="Verdana"/>
                <w:sz w:val="18"/>
                <w:szCs w:val="18"/>
              </w:rPr>
              <w:t>I</w:t>
            </w:r>
            <w:r w:rsidRPr="00AE38CA">
              <w:rPr>
                <w:rFonts w:ascii="Verdana" w:hAnsi="Verdana"/>
                <w:sz w:val="18"/>
                <w:szCs w:val="18"/>
              </w:rPr>
              <w:t xml:space="preserve">ndications that </w:t>
            </w:r>
            <w:r w:rsidR="009470F2" w:rsidRPr="00AE38CA">
              <w:rPr>
                <w:rFonts w:ascii="Verdana" w:hAnsi="Verdana"/>
                <w:sz w:val="18"/>
                <w:szCs w:val="18"/>
              </w:rPr>
              <w:t xml:space="preserve">the </w:t>
            </w:r>
            <w:r w:rsidRPr="00AE38CA">
              <w:rPr>
                <w:rFonts w:ascii="Verdana" w:hAnsi="Verdana"/>
                <w:sz w:val="18"/>
                <w:szCs w:val="18"/>
              </w:rPr>
              <w:t>system of subsidi</w:t>
            </w:r>
            <w:r w:rsidR="009470F2" w:rsidRPr="00AE38CA">
              <w:rPr>
                <w:rFonts w:ascii="Verdana" w:hAnsi="Verdana"/>
                <w:sz w:val="18"/>
                <w:szCs w:val="18"/>
              </w:rPr>
              <w:t>s</w:t>
            </w:r>
            <w:r w:rsidRPr="00AE38CA">
              <w:rPr>
                <w:rFonts w:ascii="Verdana" w:hAnsi="Verdana"/>
                <w:sz w:val="18"/>
                <w:szCs w:val="18"/>
              </w:rPr>
              <w:t>ing parents leads to a decrease in the number of target group children attending ECEC-facilities</w:t>
            </w:r>
          </w:p>
        </w:tc>
        <w:tc>
          <w:tcPr>
            <w:tcW w:w="1315" w:type="pct"/>
            <w:shd w:val="clear" w:color="auto" w:fill="F2F2F2"/>
          </w:tcPr>
          <w:p w14:paraId="504B5421" w14:textId="4FB82781" w:rsidR="00504A88" w:rsidRPr="00AE38CA" w:rsidRDefault="00504A88" w:rsidP="00504A88">
            <w:pPr>
              <w:pStyle w:val="Plattetekst"/>
              <w:tabs>
                <w:tab w:val="left" w:pos="1571"/>
              </w:tabs>
            </w:pPr>
            <w:r w:rsidRPr="00AE38CA">
              <w:t xml:space="preserve">1. </w:t>
            </w:r>
            <w:r w:rsidRPr="00AE38CA">
              <w:rPr>
                <w:sz w:val="18"/>
                <w:szCs w:val="18"/>
              </w:rPr>
              <w:t>only 35</w:t>
            </w:r>
            <w:r w:rsidR="009470F2" w:rsidRPr="00AE38CA">
              <w:rPr>
                <w:sz w:val="18"/>
                <w:szCs w:val="18"/>
              </w:rPr>
              <w:t xml:space="preserve">% </w:t>
            </w:r>
            <w:r w:rsidRPr="00AE38CA">
              <w:rPr>
                <w:sz w:val="18"/>
                <w:szCs w:val="18"/>
              </w:rPr>
              <w:t>of the municipalities with an asylum location have ECEC available for these children</w:t>
            </w:r>
          </w:p>
          <w:p w14:paraId="1328C82B" w14:textId="77777777" w:rsidR="00504A88" w:rsidRPr="00AE38CA" w:rsidRDefault="00504A88" w:rsidP="00504A88">
            <w:pPr>
              <w:rPr>
                <w:rFonts w:ascii="Verdana" w:hAnsi="Verdana"/>
                <w:sz w:val="18"/>
                <w:szCs w:val="18"/>
              </w:rPr>
            </w:pPr>
          </w:p>
        </w:tc>
        <w:tc>
          <w:tcPr>
            <w:tcW w:w="1315" w:type="pct"/>
            <w:shd w:val="clear" w:color="auto" w:fill="F2F2F2"/>
          </w:tcPr>
          <w:p w14:paraId="1E93C9CD" w14:textId="786B85D9" w:rsidR="00504A88" w:rsidRPr="00AE38CA" w:rsidRDefault="00501C55" w:rsidP="00504A88">
            <w:pPr>
              <w:rPr>
                <w:rFonts w:ascii="Verdana" w:hAnsi="Verdana"/>
                <w:sz w:val="18"/>
                <w:szCs w:val="18"/>
              </w:rPr>
            </w:pPr>
            <w:r w:rsidRPr="00AE38CA">
              <w:rPr>
                <w:rFonts w:ascii="Verdana" w:hAnsi="Verdana"/>
                <w:sz w:val="18"/>
                <w:szCs w:val="18"/>
              </w:rPr>
              <w:t>No specific barriers</w:t>
            </w:r>
          </w:p>
        </w:tc>
      </w:tr>
      <w:tr w:rsidR="00504A88" w:rsidRPr="00AE38CA" w14:paraId="6EB4CD5E" w14:textId="77777777" w:rsidTr="00C01DD9">
        <w:tc>
          <w:tcPr>
            <w:tcW w:w="498" w:type="pct"/>
            <w:vMerge/>
          </w:tcPr>
          <w:p w14:paraId="04D8D751" w14:textId="77777777" w:rsidR="00504A88" w:rsidRPr="00AE38CA" w:rsidRDefault="00504A88" w:rsidP="00504A88">
            <w:pPr>
              <w:rPr>
                <w:rFonts w:ascii="Verdana" w:hAnsi="Verdana"/>
                <w:sz w:val="18"/>
                <w:szCs w:val="18"/>
              </w:rPr>
            </w:pPr>
          </w:p>
        </w:tc>
        <w:tc>
          <w:tcPr>
            <w:tcW w:w="557" w:type="pct"/>
            <w:shd w:val="clear" w:color="auto" w:fill="F2F2F2"/>
          </w:tcPr>
          <w:p w14:paraId="0DC8FC2C" w14:textId="77777777" w:rsidR="00504A88" w:rsidRPr="00AE38CA" w:rsidRDefault="00504A88" w:rsidP="00504A88">
            <w:pPr>
              <w:rPr>
                <w:rFonts w:ascii="Verdana" w:hAnsi="Verdana"/>
                <w:b/>
                <w:sz w:val="18"/>
                <w:szCs w:val="18"/>
              </w:rPr>
            </w:pPr>
            <w:r w:rsidRPr="00AE38CA">
              <w:rPr>
                <w:rFonts w:ascii="Verdana" w:hAnsi="Verdana"/>
                <w:b/>
                <w:sz w:val="18"/>
                <w:szCs w:val="18"/>
              </w:rPr>
              <w:t>Priorities for action</w:t>
            </w:r>
          </w:p>
        </w:tc>
        <w:tc>
          <w:tcPr>
            <w:tcW w:w="1315" w:type="pct"/>
            <w:shd w:val="clear" w:color="auto" w:fill="F2F2F2"/>
          </w:tcPr>
          <w:p w14:paraId="58D8DCE0" w14:textId="62C617C9" w:rsidR="0082770F" w:rsidRPr="00AE38CA" w:rsidRDefault="0082770F" w:rsidP="0082770F">
            <w:pPr>
              <w:rPr>
                <w:rFonts w:ascii="Verdana" w:hAnsi="Verdana"/>
                <w:sz w:val="18"/>
                <w:szCs w:val="18"/>
              </w:rPr>
            </w:pPr>
            <w:r w:rsidRPr="00AE38CA">
              <w:rPr>
                <w:rFonts w:ascii="Verdana" w:hAnsi="Verdana"/>
                <w:sz w:val="18"/>
                <w:szCs w:val="18"/>
              </w:rPr>
              <w:t xml:space="preserve">1. </w:t>
            </w:r>
            <w:r w:rsidR="009470F2" w:rsidRPr="00AE38CA">
              <w:rPr>
                <w:rFonts w:ascii="Verdana" w:hAnsi="Verdana"/>
                <w:sz w:val="18"/>
                <w:szCs w:val="18"/>
              </w:rPr>
              <w:t>M</w:t>
            </w:r>
            <w:r w:rsidRPr="00AE38CA">
              <w:rPr>
                <w:rFonts w:ascii="Verdana" w:eastAsia="Calibri" w:hAnsi="Verdana" w:cs="Arial"/>
                <w:sz w:val="18"/>
                <w:szCs w:val="18"/>
              </w:rPr>
              <w:t>ore unity in access regulations</w:t>
            </w:r>
          </w:p>
          <w:p w14:paraId="1152590B" w14:textId="50C3A918" w:rsidR="00504A88" w:rsidRPr="00AE38CA" w:rsidRDefault="0082770F" w:rsidP="00504A88">
            <w:pPr>
              <w:rPr>
                <w:rFonts w:ascii="Verdana" w:hAnsi="Verdana"/>
                <w:sz w:val="18"/>
                <w:szCs w:val="18"/>
              </w:rPr>
            </w:pPr>
            <w:r w:rsidRPr="00AE38CA">
              <w:rPr>
                <w:rFonts w:ascii="Verdana" w:hAnsi="Verdana"/>
                <w:sz w:val="18"/>
                <w:szCs w:val="18"/>
              </w:rPr>
              <w:t xml:space="preserve">2. </w:t>
            </w:r>
            <w:r w:rsidR="009470F2" w:rsidRPr="00AE38CA">
              <w:rPr>
                <w:rFonts w:ascii="Verdana" w:hAnsi="Verdana"/>
                <w:sz w:val="18"/>
                <w:szCs w:val="18"/>
              </w:rPr>
              <w:t>L</w:t>
            </w:r>
            <w:r w:rsidRPr="00AE38CA">
              <w:rPr>
                <w:rFonts w:ascii="Verdana" w:eastAsia="Calibri" w:hAnsi="Verdana" w:cs="Arial"/>
                <w:sz w:val="18"/>
                <w:szCs w:val="18"/>
              </w:rPr>
              <w:t>abour market measures to prevent waiting lists</w:t>
            </w:r>
          </w:p>
        </w:tc>
        <w:tc>
          <w:tcPr>
            <w:tcW w:w="1315" w:type="pct"/>
            <w:shd w:val="clear" w:color="auto" w:fill="F2F2F2"/>
          </w:tcPr>
          <w:p w14:paraId="1F2EBE95" w14:textId="4953AC8F" w:rsidR="00504A88" w:rsidRPr="00AE38CA" w:rsidRDefault="00337966" w:rsidP="00504A88">
            <w:pPr>
              <w:rPr>
                <w:rFonts w:ascii="Verdana" w:hAnsi="Verdana"/>
                <w:sz w:val="18"/>
                <w:szCs w:val="18"/>
              </w:rPr>
            </w:pPr>
            <w:r w:rsidRPr="00AE38CA">
              <w:rPr>
                <w:rFonts w:ascii="Verdana" w:hAnsi="Verdana"/>
                <w:sz w:val="18"/>
                <w:szCs w:val="18"/>
              </w:rPr>
              <w:t xml:space="preserve">1. </w:t>
            </w:r>
            <w:r w:rsidR="0082770F" w:rsidRPr="00AE38CA">
              <w:rPr>
                <w:rFonts w:ascii="Verdana" w:hAnsi="Verdana"/>
                <w:sz w:val="18"/>
                <w:szCs w:val="18"/>
              </w:rPr>
              <w:t>ECEC facilities in more municipalities with asylum seeker centres</w:t>
            </w:r>
          </w:p>
        </w:tc>
        <w:tc>
          <w:tcPr>
            <w:tcW w:w="1315" w:type="pct"/>
            <w:shd w:val="clear" w:color="auto" w:fill="F2F2F2"/>
          </w:tcPr>
          <w:p w14:paraId="5F522DD2" w14:textId="77777777" w:rsidR="00504A88" w:rsidRPr="00AE38CA" w:rsidRDefault="00504A88" w:rsidP="00504A88">
            <w:pPr>
              <w:rPr>
                <w:rFonts w:ascii="Verdana" w:hAnsi="Verdana"/>
                <w:sz w:val="18"/>
                <w:szCs w:val="18"/>
              </w:rPr>
            </w:pPr>
          </w:p>
        </w:tc>
      </w:tr>
    </w:tbl>
    <w:p w14:paraId="2937878F" w14:textId="77777777" w:rsidR="00AF5BC3" w:rsidRPr="00AE38CA" w:rsidRDefault="00AF5BC3" w:rsidP="00AF5BC3">
      <w:pPr>
        <w:sectPr w:rsidR="00AF5BC3" w:rsidRPr="00AE38CA" w:rsidSect="001A75CA">
          <w:headerReference w:type="default" r:id="rId44"/>
          <w:pgSz w:w="16838" w:h="11906" w:orient="landscape"/>
          <w:pgMar w:top="1440" w:right="1440" w:bottom="1440" w:left="1440" w:header="142" w:footer="351" w:gutter="0"/>
          <w:cols w:space="720"/>
          <w:docGrid w:linePitch="360"/>
        </w:sectPr>
      </w:pPr>
    </w:p>
    <w:p w14:paraId="52584EE4" w14:textId="0503D970" w:rsidR="00AF5BC3" w:rsidRPr="00AE38CA" w:rsidRDefault="00AF5BC3" w:rsidP="004771A1">
      <w:pPr>
        <w:pStyle w:val="Kop2"/>
      </w:pPr>
      <w:bookmarkStart w:id="12" w:name="_Toc532388671"/>
      <w:r w:rsidRPr="00AE38CA">
        <w:lastRenderedPageBreak/>
        <w:t>Description and assessment of main policies in place and recommendations for improvements to the situation of children residing in institutions</w:t>
      </w:r>
      <w:bookmarkEnd w:id="12"/>
    </w:p>
    <w:p w14:paraId="1DA59666" w14:textId="77777777" w:rsidR="0085290B" w:rsidRPr="00AE38CA" w:rsidRDefault="0085290B" w:rsidP="0085290B">
      <w:pPr>
        <w:pStyle w:val="Plattetekst"/>
        <w:rPr>
          <w:b/>
        </w:rPr>
      </w:pPr>
    </w:p>
    <w:p w14:paraId="62EF64A2" w14:textId="77777777" w:rsidR="0047255E" w:rsidRPr="00AE38CA" w:rsidRDefault="0047255E" w:rsidP="0047255E">
      <w:pPr>
        <w:pStyle w:val="Plattetekst"/>
        <w:spacing w:after="0"/>
      </w:pPr>
      <w:r w:rsidRPr="00AE38CA">
        <w:t>Summary: Regulations and policies are designed to prevent the out-of-home placement of children as much as possible by means of (specialist) support in the home situation. If out-of-home placement cannot be prevented, the policy is that family-oriented care is preferable to residential care. However, practice is unruly. Serious problems are often identified too late and there is insufficient availability of specialist assistance in the home situation.</w:t>
      </w:r>
    </w:p>
    <w:p w14:paraId="14F48BB2" w14:textId="77777777" w:rsidR="0047255E" w:rsidRPr="00AE38CA" w:rsidRDefault="0047255E" w:rsidP="0047255E">
      <w:pPr>
        <w:pStyle w:val="Plattetekst"/>
        <w:spacing w:after="0"/>
      </w:pPr>
    </w:p>
    <w:p w14:paraId="049FF446" w14:textId="77777777" w:rsidR="0047255E" w:rsidRPr="00AE38CA" w:rsidRDefault="0047255E" w:rsidP="0047255E">
      <w:pPr>
        <w:pStyle w:val="Plattetekst"/>
        <w:spacing w:after="0"/>
        <w:rPr>
          <w:b/>
        </w:rPr>
      </w:pPr>
      <w:r w:rsidRPr="00AE38CA">
        <w:rPr>
          <w:b/>
        </w:rPr>
        <w:t>Out-of-home placement is an ultimum remedium, a last resort</w:t>
      </w:r>
    </w:p>
    <w:p w14:paraId="076AD549" w14:textId="77777777" w:rsidR="0047255E" w:rsidRPr="00AE38CA" w:rsidRDefault="0047255E" w:rsidP="0047255E">
      <w:pPr>
        <w:pStyle w:val="Plattetekst"/>
        <w:spacing w:after="0"/>
      </w:pPr>
      <w:r w:rsidRPr="00AE38CA">
        <w:t>The Netherlands acceded to the International Convention on the Rights of the Child (CRC). Under the CRC, the government must ensure that the parents' responsibility to bring up their children is respected. In addition, each child has the right to grow up with their parents and to keep in touch with both parents if they live separately from one or both parents, unless this is contrary to the best interests of the child.</w:t>
      </w:r>
    </w:p>
    <w:p w14:paraId="2884F94F" w14:textId="77777777" w:rsidR="0047255E" w:rsidRPr="00AE38CA" w:rsidRDefault="0047255E" w:rsidP="0047255E">
      <w:pPr>
        <w:pStyle w:val="Plattetekst"/>
        <w:spacing w:after="0"/>
      </w:pPr>
    </w:p>
    <w:p w14:paraId="28FA43FC" w14:textId="003B700E" w:rsidR="00E81465" w:rsidRPr="00AE38CA" w:rsidRDefault="0047255E" w:rsidP="008D2AB8">
      <w:pPr>
        <w:pStyle w:val="Plattetekst"/>
        <w:spacing w:after="0"/>
      </w:pPr>
      <w:r w:rsidRPr="00AE38CA">
        <w:t>Since 1 January 2015, when the Youth Act</w:t>
      </w:r>
      <w:r w:rsidR="00E94517" w:rsidRPr="00AE38CA">
        <w:t xml:space="preserve"> (</w:t>
      </w:r>
      <w:proofErr w:type="spellStart"/>
      <w:r w:rsidR="00E94517" w:rsidRPr="00AE38CA">
        <w:t>Staatsblad</w:t>
      </w:r>
      <w:proofErr w:type="spellEnd"/>
      <w:r w:rsidR="00E94517" w:rsidRPr="00AE38CA">
        <w:t xml:space="preserve"> 2014, nr. 105)</w:t>
      </w:r>
      <w:r w:rsidRPr="00AE38CA">
        <w:t xml:space="preserve"> came into force, municipalities have become responsible for all forms of youth care, child protection and juvenile probation</w:t>
      </w:r>
      <w:r w:rsidR="00050471" w:rsidRPr="00AE38CA">
        <w:t>. Residential youth care is a form of assistance in which children or youngsters are (temporarily) placed out of their homes on a voluntary or compulsory basis, and placed in residential groups and treatment groups. There are various forms of residential youth care: independent living training, residential groups focused on behavioural skills and growing up, treatment groups focused on the treatment of specific problems, crisis relief and closed residential youth care.</w:t>
      </w:r>
      <w:r w:rsidR="000F73FE" w:rsidRPr="00AE38CA">
        <w:t xml:space="preserve"> </w:t>
      </w:r>
    </w:p>
    <w:p w14:paraId="6B553C0F" w14:textId="77777777" w:rsidR="00E81465" w:rsidRPr="00AE38CA" w:rsidRDefault="00E81465" w:rsidP="008D2AB8">
      <w:pPr>
        <w:pStyle w:val="Plattetekst"/>
        <w:spacing w:after="0"/>
      </w:pPr>
    </w:p>
    <w:p w14:paraId="188B43AD" w14:textId="44979488" w:rsidR="00423506" w:rsidRPr="00AE38CA" w:rsidRDefault="00423506" w:rsidP="00B37ED6">
      <w:pPr>
        <w:pStyle w:val="Plattetekst"/>
        <w:spacing w:after="0"/>
      </w:pPr>
      <w:r w:rsidRPr="00AE38CA">
        <w:t xml:space="preserve">The Youth Act </w:t>
      </w:r>
      <w:r w:rsidR="00961ABC" w:rsidRPr="00AE38CA">
        <w:t>includes</w:t>
      </w:r>
      <w:r w:rsidRPr="00AE38CA">
        <w:t xml:space="preserve"> preconditions and quality requirements that youth care and/or youth care providers must meet, such as file creation, a plan (assistance plan, treatment plan) and quality monitoring and control.</w:t>
      </w:r>
    </w:p>
    <w:p w14:paraId="5B3EC636" w14:textId="77777777" w:rsidR="00423506" w:rsidRPr="00AE38CA" w:rsidRDefault="00423506" w:rsidP="008D2AB8">
      <w:pPr>
        <w:pStyle w:val="Plattetekst"/>
        <w:spacing w:after="0"/>
      </w:pPr>
    </w:p>
    <w:p w14:paraId="105D107D" w14:textId="240EEADF" w:rsidR="0047255E" w:rsidRPr="00AE38CA" w:rsidRDefault="0047255E" w:rsidP="008D2AB8">
      <w:pPr>
        <w:pStyle w:val="Plattetekst"/>
        <w:spacing w:after="0"/>
      </w:pPr>
      <w:r w:rsidRPr="00AE38CA">
        <w:t>The system change is aimed at realising a number of transformations. The transformation goals include prevention, discovering one’s own possibilities, demedicalization, unburdening and normalization, and appropriate tailored help at an earlier stage. It is assumed that when more attention is paid to prevention and appropriate tailored assistance, this will prevent problems from worsening, which would require specialist help, including residential care. The Youth Act aims to stimulate children to grow up in their own home environment as much as possible.</w:t>
      </w:r>
    </w:p>
    <w:p w14:paraId="5D4E3525" w14:textId="77777777" w:rsidR="0047255E" w:rsidRPr="00AE38CA" w:rsidRDefault="0047255E" w:rsidP="0047255E">
      <w:pPr>
        <w:pStyle w:val="Plattetekst"/>
        <w:spacing w:after="0"/>
      </w:pPr>
    </w:p>
    <w:p w14:paraId="1C59ACF4" w14:textId="77777777" w:rsidR="0047255E" w:rsidRPr="00AE38CA" w:rsidRDefault="0047255E" w:rsidP="0047255E">
      <w:pPr>
        <w:pStyle w:val="Plattetekst"/>
        <w:spacing w:after="0"/>
      </w:pPr>
      <w:r w:rsidRPr="00AE38CA">
        <w:t>In addition, the Directive on out-of-home placement for youth care and youth protection is based on preventing out-of-home placements as much as possible and on using ambulant interventions instead.</w:t>
      </w:r>
    </w:p>
    <w:p w14:paraId="374CBE52" w14:textId="77777777" w:rsidR="0047255E" w:rsidRPr="00AE38CA" w:rsidRDefault="0047255E" w:rsidP="0047255E">
      <w:pPr>
        <w:pStyle w:val="Plattetekst"/>
        <w:spacing w:after="0"/>
      </w:pPr>
    </w:p>
    <w:p w14:paraId="162E13AD" w14:textId="77777777" w:rsidR="0047255E" w:rsidRPr="00AE38CA" w:rsidRDefault="0047255E" w:rsidP="0047255E">
      <w:pPr>
        <w:pStyle w:val="Plattetekst"/>
        <w:spacing w:after="0"/>
        <w:rPr>
          <w:b/>
        </w:rPr>
      </w:pPr>
      <w:r w:rsidRPr="00AE38CA">
        <w:rPr>
          <w:b/>
        </w:rPr>
        <w:t>If out-of-home placement cannot be prevented</w:t>
      </w:r>
    </w:p>
    <w:p w14:paraId="00B59D0F" w14:textId="01DAB1E5" w:rsidR="0047255E" w:rsidRPr="00AE38CA" w:rsidRDefault="0047255E" w:rsidP="0047255E">
      <w:pPr>
        <w:pStyle w:val="Plattetekst"/>
        <w:spacing w:after="0"/>
      </w:pPr>
      <w:r w:rsidRPr="00AE38CA">
        <w:t>In some families where parenting or upbringing problems occur, these problems are so large that a child has to be temporarily or permanently placed out-of-home and separated from their parents or guardians. A child who is temporarily or permanently removed from his family is entitled under the CRC to special protection and assistance from the state. In the case of out-of-home placement, the state must provide a suitable alternative, taking into account the background and special needs of the child. There is a hierarchy in the alternatives of care. First of all, it must be checked whether the child can live with other members of the family in a broader sense (placement in the network), then whether a replacement family</w:t>
      </w:r>
      <w:r w:rsidR="00E84CA1" w:rsidRPr="00AE38CA">
        <w:t xml:space="preserve"> (foster family or group home)</w:t>
      </w:r>
      <w:r w:rsidRPr="00AE38CA">
        <w:t xml:space="preserve"> is a possibility and lastly, only if there is no other alternative, a suitable residential institution.</w:t>
      </w:r>
    </w:p>
    <w:p w14:paraId="5256E752" w14:textId="77777777" w:rsidR="0047255E" w:rsidRPr="00AE38CA" w:rsidRDefault="0047255E" w:rsidP="0047255E">
      <w:pPr>
        <w:pStyle w:val="Plattetekst"/>
        <w:spacing w:after="0"/>
      </w:pPr>
    </w:p>
    <w:p w14:paraId="6AF50855" w14:textId="77777777" w:rsidR="0047255E" w:rsidRPr="00AE38CA" w:rsidRDefault="0047255E" w:rsidP="0047255E">
      <w:pPr>
        <w:pStyle w:val="Plattetekst"/>
        <w:spacing w:after="0"/>
      </w:pPr>
      <w:r w:rsidRPr="00AE38CA">
        <w:t xml:space="preserve">The Youth Act also stipulates that children and youngsters who can no longer live with their own parents, are placed in a foster home or in a group home. For this reason, the municipal </w:t>
      </w:r>
      <w:r w:rsidRPr="00AE38CA">
        <w:lastRenderedPageBreak/>
        <w:t>executive is explicitly instructed to give preference to placement in a family environment over placement in an institution in the event of an out-of-home placement. In order to assist municipalities with this responsibility, the 'Youth care in family forms' project started in the autumn of 2016. In the project, a guide and framework for setting up youth care in family forms has been developed for municipalities.</w:t>
      </w:r>
    </w:p>
    <w:p w14:paraId="1DC5F3C2" w14:textId="77777777" w:rsidR="0047255E" w:rsidRPr="00AE38CA" w:rsidRDefault="0047255E" w:rsidP="0047255E">
      <w:pPr>
        <w:pStyle w:val="Plattetekst"/>
        <w:spacing w:after="0"/>
      </w:pPr>
    </w:p>
    <w:p w14:paraId="4E2524DB" w14:textId="77777777" w:rsidR="0047255E" w:rsidRPr="00AE38CA" w:rsidRDefault="0047255E" w:rsidP="0047255E">
      <w:pPr>
        <w:pStyle w:val="Plattetekst"/>
        <w:spacing w:after="0"/>
      </w:pPr>
      <w:r w:rsidRPr="00AE38CA">
        <w:t>The first evaluation of the Youth Act shows that in practice it is difficult to fulfil this obligation because of an insufficient number of foster parents. This problem is addressed in the Youth Care Action Plan, which was presented to the House of Representatives by the Ministers of Health, Welfare and Sports (VWS) and Justice and Security (JenV) on 16 April 2018. One of the action lines of the Action Plan is 'letting more children grow up in home-like circumstances'. In this action line a number of policy measures are mentioned, namely:</w:t>
      </w:r>
    </w:p>
    <w:p w14:paraId="0203B510" w14:textId="6D3AD181" w:rsidR="0047255E" w:rsidRPr="00AE38CA" w:rsidRDefault="0047255E" w:rsidP="001965B0">
      <w:pPr>
        <w:pStyle w:val="Plattetekst"/>
        <w:numPr>
          <w:ilvl w:val="1"/>
          <w:numId w:val="38"/>
        </w:numPr>
        <w:spacing w:after="0"/>
        <w:ind w:left="284" w:hanging="284"/>
      </w:pPr>
      <w:r w:rsidRPr="00AE38CA">
        <w:t>youth care organisations are instructed to further develop themselves in the field of prevention of unsafe home situations;</w:t>
      </w:r>
    </w:p>
    <w:p w14:paraId="6345CF92" w14:textId="00FEC246" w:rsidR="0047255E" w:rsidRPr="00AE38CA" w:rsidRDefault="0047255E" w:rsidP="001965B0">
      <w:pPr>
        <w:pStyle w:val="Plattetekst"/>
        <w:numPr>
          <w:ilvl w:val="1"/>
          <w:numId w:val="38"/>
        </w:numPr>
        <w:spacing w:after="0"/>
        <w:ind w:left="284" w:hanging="284"/>
      </w:pPr>
      <w:r w:rsidRPr="00AE38CA">
        <w:t>support care in foster families by means of the Foster Care Action Plan;</w:t>
      </w:r>
    </w:p>
    <w:p w14:paraId="08390D0E" w14:textId="43064428" w:rsidR="0047255E" w:rsidRPr="00AE38CA" w:rsidRDefault="0047255E" w:rsidP="001965B0">
      <w:pPr>
        <w:pStyle w:val="Plattetekst"/>
        <w:numPr>
          <w:ilvl w:val="1"/>
          <w:numId w:val="38"/>
        </w:numPr>
        <w:spacing w:after="0"/>
        <w:ind w:left="284" w:hanging="284"/>
      </w:pPr>
      <w:r w:rsidRPr="00AE38CA">
        <w:t>develop an approach to minimize the number of times children are transferred</w:t>
      </w:r>
      <w:r w:rsidR="00B54FE8" w:rsidRPr="00AE38CA">
        <w:t xml:space="preserve"> from</w:t>
      </w:r>
      <w:r w:rsidR="00BA670A" w:rsidRPr="00AE38CA">
        <w:t xml:space="preserve"> one foster family to another</w:t>
      </w:r>
      <w:r w:rsidRPr="00AE38CA">
        <w:t>;</w:t>
      </w:r>
    </w:p>
    <w:p w14:paraId="0FB6839E" w14:textId="238310A9" w:rsidR="0047255E" w:rsidRPr="00AE38CA" w:rsidRDefault="0047255E" w:rsidP="001965B0">
      <w:pPr>
        <w:pStyle w:val="Plattetekst"/>
        <w:numPr>
          <w:ilvl w:val="1"/>
          <w:numId w:val="38"/>
        </w:numPr>
        <w:spacing w:after="0"/>
        <w:ind w:left="284" w:hanging="284"/>
      </w:pPr>
      <w:r w:rsidRPr="00AE38CA">
        <w:t>fewer placements in Youth Care Plus (secure residential youth care</w:t>
      </w:r>
      <w:r w:rsidR="00DC7C56" w:rsidRPr="00AE38CA">
        <w:t xml:space="preserve"> in the context of </w:t>
      </w:r>
      <w:r w:rsidR="00FF59E5" w:rsidRPr="00AE38CA">
        <w:t>child protection</w:t>
      </w:r>
      <w:r w:rsidRPr="00AE38CA">
        <w:t>), shortening the duration and promoting outflow;</w:t>
      </w:r>
    </w:p>
    <w:p w14:paraId="67E3FA58" w14:textId="0E921E7E" w:rsidR="0047255E" w:rsidRPr="00AE38CA" w:rsidRDefault="0047255E" w:rsidP="001965B0">
      <w:pPr>
        <w:pStyle w:val="Plattetekst"/>
        <w:numPr>
          <w:ilvl w:val="1"/>
          <w:numId w:val="38"/>
        </w:numPr>
        <w:spacing w:after="0"/>
        <w:ind w:left="284" w:hanging="284"/>
      </w:pPr>
      <w:r w:rsidRPr="00AE38CA">
        <w:t>stop secluding children and reduce other temporary separation as much as possible.</w:t>
      </w:r>
    </w:p>
    <w:p w14:paraId="3007F9C8" w14:textId="77777777" w:rsidR="0047255E" w:rsidRPr="00AE38CA" w:rsidRDefault="0047255E" w:rsidP="0047255E">
      <w:pPr>
        <w:pStyle w:val="Plattetekst"/>
        <w:rPr>
          <w:b/>
        </w:rPr>
      </w:pPr>
    </w:p>
    <w:p w14:paraId="3D063224" w14:textId="619E4DEC" w:rsidR="0047255E" w:rsidRPr="00AE38CA" w:rsidRDefault="0047255E" w:rsidP="00D70392">
      <w:pPr>
        <w:pStyle w:val="Plattetekst"/>
        <w:rPr>
          <w:b/>
          <w:lang w:bidi="en-GB"/>
        </w:rPr>
      </w:pPr>
      <w:r w:rsidRPr="00AE38CA">
        <w:rPr>
          <w:b/>
          <w:lang w:bidi="en-GB"/>
        </w:rPr>
        <w:t xml:space="preserve">Table </w:t>
      </w:r>
      <w:r w:rsidR="008504FF" w:rsidRPr="00AE38CA">
        <w:rPr>
          <w:b/>
          <w:lang w:bidi="en-GB"/>
        </w:rPr>
        <w:t>3:</w:t>
      </w:r>
      <w:r w:rsidRPr="00AE38CA">
        <w:rPr>
          <w:b/>
          <w:lang w:bidi="en-GB"/>
        </w:rPr>
        <w:t xml:space="preserve"> Summary of main weaknesses in existing policies/provision and key priorities for improving policies/provision (children residing in institutions)</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954"/>
      </w:tblGrid>
      <w:tr w:rsidR="0047255E" w:rsidRPr="00AE38CA" w14:paraId="3A9F2739" w14:textId="77777777" w:rsidTr="00AE5060">
        <w:tc>
          <w:tcPr>
            <w:tcW w:w="8954" w:type="dxa"/>
            <w:shd w:val="clear" w:color="auto" w:fill="00AEF0"/>
            <w:vAlign w:val="center"/>
          </w:tcPr>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926"/>
              <w:gridCol w:w="6694"/>
            </w:tblGrid>
            <w:tr w:rsidR="0047255E" w:rsidRPr="00AE38CA" w14:paraId="70E88FBF" w14:textId="77777777" w:rsidTr="00AE5060">
              <w:tc>
                <w:tcPr>
                  <w:tcW w:w="8620" w:type="dxa"/>
                  <w:gridSpan w:val="2"/>
                  <w:shd w:val="clear" w:color="auto" w:fill="00AEF0"/>
                  <w:vAlign w:val="center"/>
                </w:tcPr>
                <w:p w14:paraId="31BE69AB" w14:textId="77777777" w:rsidR="0047255E" w:rsidRPr="00AE38CA" w:rsidRDefault="0047255E" w:rsidP="00AE5060">
                  <w:pPr>
                    <w:jc w:val="center"/>
                    <w:rPr>
                      <w:rFonts w:ascii="Verdana" w:hAnsi="Verdana"/>
                      <w:b/>
                      <w:color w:val="FFFFFF"/>
                      <w:sz w:val="20"/>
                    </w:rPr>
                  </w:pPr>
                  <w:r w:rsidRPr="00AE38CA">
                    <w:rPr>
                      <w:rFonts w:ascii="Verdana" w:hAnsi="Verdana"/>
                      <w:b/>
                      <w:color w:val="FFFFFF"/>
                      <w:sz w:val="20"/>
                    </w:rPr>
                    <w:t>Children residing in institutions</w:t>
                  </w:r>
                </w:p>
              </w:tc>
            </w:tr>
            <w:tr w:rsidR="0047255E" w:rsidRPr="00AE38CA" w14:paraId="54DD08F1" w14:textId="77777777" w:rsidTr="00AE5060">
              <w:tc>
                <w:tcPr>
                  <w:tcW w:w="1926" w:type="dxa"/>
                  <w:shd w:val="clear" w:color="auto" w:fill="F2F2F2"/>
                </w:tcPr>
                <w:p w14:paraId="24DF8F4B" w14:textId="77777777" w:rsidR="0047255E" w:rsidRPr="00AE38CA" w:rsidRDefault="0047255E" w:rsidP="00AE5060">
                  <w:pPr>
                    <w:jc w:val="left"/>
                    <w:rPr>
                      <w:rFonts w:ascii="Verdana" w:hAnsi="Verdana"/>
                      <w:b/>
                      <w:sz w:val="20"/>
                    </w:rPr>
                  </w:pPr>
                  <w:r w:rsidRPr="00AE38CA">
                    <w:rPr>
                      <w:rFonts w:ascii="Verdana" w:hAnsi="Verdana"/>
                      <w:b/>
                      <w:sz w:val="20"/>
                    </w:rPr>
                    <w:t>Main weaknesses in existing policies &amp; provision</w:t>
                  </w:r>
                </w:p>
              </w:tc>
              <w:tc>
                <w:tcPr>
                  <w:tcW w:w="6694" w:type="dxa"/>
                  <w:shd w:val="clear" w:color="auto" w:fill="F2F2F2"/>
                </w:tcPr>
                <w:p w14:paraId="2F89024B" w14:textId="77777777" w:rsidR="0047255E" w:rsidRPr="00AE38CA" w:rsidRDefault="0047255E" w:rsidP="00AE5060">
                  <w:pPr>
                    <w:rPr>
                      <w:rFonts w:ascii="Verdana" w:hAnsi="Verdana" w:cs="Courier New"/>
                      <w:sz w:val="20"/>
                      <w:lang w:eastAsia="nl-NL"/>
                    </w:rPr>
                  </w:pPr>
                  <w:r w:rsidRPr="00AE38CA">
                    <w:rPr>
                      <w:rFonts w:ascii="Verdana" w:hAnsi="Verdana" w:cs="Courier New"/>
                      <w:sz w:val="20"/>
                      <w:lang w:eastAsia="nl-NL"/>
                    </w:rPr>
                    <w:t xml:space="preserve">1. Policy and practice do not match: the policy is based on the prevention of out-of-home placement, but in practice serious problems are not identified in time and/or specialist assistance is insufficiently available in the home situation </w:t>
                  </w:r>
                </w:p>
                <w:p w14:paraId="3629CD1D" w14:textId="77777777" w:rsidR="0047255E" w:rsidRPr="00AE38CA" w:rsidRDefault="0047255E" w:rsidP="00AE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Verdana" w:hAnsi="Verdana" w:cs="Courier New"/>
                      <w:sz w:val="20"/>
                      <w:lang w:eastAsia="nl-NL"/>
                    </w:rPr>
                  </w:pPr>
                  <w:r w:rsidRPr="00AE38CA">
                    <w:rPr>
                      <w:rFonts w:ascii="Verdana" w:hAnsi="Verdana" w:cs="Courier New"/>
                      <w:sz w:val="20"/>
                      <w:lang w:eastAsia="nl-NL"/>
                    </w:rPr>
                    <w:t>2. (Still) no policy to prevent the transfer of children</w:t>
                  </w:r>
                </w:p>
                <w:p w14:paraId="7CAEB184" w14:textId="77777777" w:rsidR="0047255E" w:rsidRPr="00AE38CA" w:rsidRDefault="0047255E" w:rsidP="00AE5060">
                  <w:pPr>
                    <w:rPr>
                      <w:rFonts w:ascii="Verdana" w:hAnsi="Verdana"/>
                      <w:sz w:val="18"/>
                      <w:szCs w:val="18"/>
                    </w:rPr>
                  </w:pPr>
                </w:p>
              </w:tc>
            </w:tr>
            <w:tr w:rsidR="0047255E" w:rsidRPr="00AE38CA" w14:paraId="39A55149" w14:textId="77777777" w:rsidTr="00AE5060">
              <w:tc>
                <w:tcPr>
                  <w:tcW w:w="1926" w:type="dxa"/>
                  <w:shd w:val="clear" w:color="auto" w:fill="F2F2F2"/>
                </w:tcPr>
                <w:p w14:paraId="3EACE649" w14:textId="77777777" w:rsidR="0047255E" w:rsidRPr="00AE38CA" w:rsidRDefault="0047255E" w:rsidP="00AE5060">
                  <w:pPr>
                    <w:jc w:val="left"/>
                    <w:rPr>
                      <w:rFonts w:ascii="Verdana" w:hAnsi="Verdana"/>
                      <w:b/>
                      <w:sz w:val="20"/>
                    </w:rPr>
                  </w:pPr>
                  <w:r w:rsidRPr="00AE38CA">
                    <w:rPr>
                      <w:rFonts w:ascii="Verdana" w:hAnsi="Verdana"/>
                      <w:b/>
                      <w:sz w:val="20"/>
                    </w:rPr>
                    <w:t>Priorities for action</w:t>
                  </w:r>
                </w:p>
              </w:tc>
              <w:tc>
                <w:tcPr>
                  <w:tcW w:w="6694" w:type="dxa"/>
                  <w:shd w:val="clear" w:color="auto" w:fill="F2F2F2"/>
                </w:tcPr>
                <w:p w14:paraId="0A0B451B" w14:textId="77777777" w:rsidR="0047255E" w:rsidRPr="00AE38CA" w:rsidRDefault="0047255E" w:rsidP="00AE5060">
                  <w:pPr>
                    <w:rPr>
                      <w:rFonts w:ascii="Verdana" w:hAnsi="Verdana" w:cs="Courier New"/>
                      <w:sz w:val="20"/>
                      <w:lang w:eastAsia="nl-NL"/>
                    </w:rPr>
                  </w:pPr>
                  <w:r w:rsidRPr="00AE38CA">
                    <w:rPr>
                      <w:rFonts w:ascii="Verdana" w:hAnsi="Verdana" w:cs="Courier New"/>
                      <w:sz w:val="20"/>
                      <w:lang w:eastAsia="nl-NL"/>
                    </w:rPr>
                    <w:t>1. Promoting expertise within social neighbourhood teams, so that timely referral is made to specialist assistance</w:t>
                  </w:r>
                </w:p>
                <w:p w14:paraId="6D66D454" w14:textId="77777777" w:rsidR="0047255E" w:rsidRPr="00AE38CA" w:rsidRDefault="0047255E" w:rsidP="00AE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Verdana" w:hAnsi="Verdana" w:cs="Courier New"/>
                      <w:sz w:val="20"/>
                      <w:lang w:eastAsia="nl-NL"/>
                    </w:rPr>
                  </w:pPr>
                  <w:r w:rsidRPr="00AE38CA">
                    <w:rPr>
                      <w:rFonts w:ascii="Verdana" w:hAnsi="Verdana" w:cs="Courier New"/>
                      <w:sz w:val="20"/>
                      <w:lang w:eastAsia="nl-NL"/>
                    </w:rPr>
                    <w:t>2. Ensuring sufficient appropriate specialist assistance</w:t>
                  </w:r>
                </w:p>
                <w:p w14:paraId="1CEC8B36" w14:textId="77777777" w:rsidR="0047255E" w:rsidRPr="00AE38CA" w:rsidRDefault="0047255E" w:rsidP="00AE5060">
                  <w:pPr>
                    <w:rPr>
                      <w:rFonts w:ascii="Verdana" w:hAnsi="Verdana"/>
                      <w:sz w:val="18"/>
                      <w:szCs w:val="18"/>
                    </w:rPr>
                  </w:pPr>
                </w:p>
              </w:tc>
            </w:tr>
          </w:tbl>
          <w:p w14:paraId="162C3FFA" w14:textId="77777777" w:rsidR="0047255E" w:rsidRPr="00AE38CA" w:rsidRDefault="0047255E" w:rsidP="00AE5060">
            <w:pPr>
              <w:jc w:val="center"/>
              <w:rPr>
                <w:rFonts w:ascii="Verdana" w:hAnsi="Verdana"/>
                <w:b/>
                <w:color w:val="FFFFFF"/>
                <w:sz w:val="20"/>
              </w:rPr>
            </w:pPr>
          </w:p>
        </w:tc>
      </w:tr>
    </w:tbl>
    <w:p w14:paraId="06B0818A" w14:textId="77777777" w:rsidR="0047255E" w:rsidRPr="00AE38CA" w:rsidRDefault="0047255E" w:rsidP="0047255E"/>
    <w:p w14:paraId="6ED3D357" w14:textId="4EB38ED4" w:rsidR="00AF5BC3" w:rsidRPr="00AE38CA" w:rsidRDefault="00AF5BC3" w:rsidP="004771A1">
      <w:pPr>
        <w:pStyle w:val="Kop2"/>
      </w:pPr>
      <w:bookmarkStart w:id="13" w:name="_Toc532388672"/>
      <w:r w:rsidRPr="00AE38CA">
        <w:t>Assessment of integrated, comprehensive and strategic approach</w:t>
      </w:r>
      <w:bookmarkEnd w:id="13"/>
      <w:r w:rsidR="00642CE3" w:rsidRPr="00AE38CA">
        <w:rPr>
          <w:rStyle w:val="Voetnootmarkering"/>
        </w:rPr>
        <w:footnoteReference w:id="16"/>
      </w:r>
      <w:r w:rsidR="00642CE3" w:rsidRPr="00AE38CA">
        <w:t xml:space="preserve"> </w:t>
      </w:r>
    </w:p>
    <w:p w14:paraId="46EA8646" w14:textId="7082C649" w:rsidR="0069213F" w:rsidRPr="00AE38CA" w:rsidRDefault="003F2E5E" w:rsidP="0069213F">
      <w:pPr>
        <w:pStyle w:val="Plattetekst"/>
        <w:rPr>
          <w:lang w:bidi="en-GB"/>
        </w:rPr>
      </w:pPr>
      <w:r w:rsidRPr="00AE38CA">
        <w:rPr>
          <w:lang w:bidi="en-GB"/>
        </w:rPr>
        <w:t xml:space="preserve">The </w:t>
      </w:r>
      <w:r w:rsidR="0069213F" w:rsidRPr="00AE38CA">
        <w:rPr>
          <w:lang w:bidi="en-GB"/>
        </w:rPr>
        <w:t xml:space="preserve">most important development </w:t>
      </w:r>
      <w:r w:rsidRPr="00AE38CA">
        <w:rPr>
          <w:lang w:bidi="en-GB"/>
        </w:rPr>
        <w:t xml:space="preserve">in recent years </w:t>
      </w:r>
      <w:r w:rsidR="0069213F" w:rsidRPr="00AE38CA">
        <w:rPr>
          <w:lang w:bidi="en-GB"/>
        </w:rPr>
        <w:t>is that anti-poverty policies have increasingly focused on the position of children. In the fall of 2016, the cabinet allocated an annual amount of EUR 100 million for the fight against child poverty for the period to come</w:t>
      </w:r>
      <w:r w:rsidR="00DE5233" w:rsidRPr="00AE38CA">
        <w:rPr>
          <w:lang w:bidi="en-GB"/>
        </w:rPr>
        <w:t xml:space="preserve"> (Klijnsma, 2016</w:t>
      </w:r>
      <w:r w:rsidR="00B43EF8" w:rsidRPr="00AE38CA">
        <w:rPr>
          <w:lang w:bidi="en-GB"/>
        </w:rPr>
        <w:t>a</w:t>
      </w:r>
      <w:r w:rsidR="00DE5233" w:rsidRPr="00AE38CA">
        <w:rPr>
          <w:lang w:bidi="en-GB"/>
        </w:rPr>
        <w:t>)</w:t>
      </w:r>
      <w:r w:rsidR="0069213F" w:rsidRPr="00AE38CA">
        <w:rPr>
          <w:lang w:bidi="en-GB"/>
        </w:rPr>
        <w:t>. 85 million of this budget is allocated to municipalities. It is intended for the provision of in-kind facilities. For the implementation of this policy, it is necessary to cooperate with civil society organisations that have the expertise to effectively reach the children.</w:t>
      </w:r>
    </w:p>
    <w:p w14:paraId="2E2E0425" w14:textId="77777777" w:rsidR="0069213F" w:rsidRPr="00AE38CA" w:rsidRDefault="0069213F" w:rsidP="0069213F">
      <w:pPr>
        <w:pStyle w:val="Plattetekst"/>
        <w:rPr>
          <w:lang w:bidi="en-GB"/>
        </w:rPr>
      </w:pPr>
      <w:r w:rsidRPr="00AE38CA">
        <w:rPr>
          <w:lang w:bidi="en-GB"/>
        </w:rPr>
        <w:lastRenderedPageBreak/>
        <w:t>In general, this policy development is in line with the Recommendation. With regard to monitoring, it must be observed that there are no quantitative targets on the extent to which and the rate at which child poverty must be combatted. This appears to be a weakness because it impedes effective monitoring of the policy (SER 2017, p 69-70). This is important now that it has been established that, despite the policy commitment, the extent of child poverty has not yet convincingly decreased.</w:t>
      </w:r>
    </w:p>
    <w:p w14:paraId="4D56A0B7" w14:textId="77777777" w:rsidR="00315DC0" w:rsidRPr="00AE38CA" w:rsidRDefault="00315DC0" w:rsidP="00315DC0">
      <w:pPr>
        <w:pStyle w:val="Plattetekst"/>
        <w:rPr>
          <w:lang w:bidi="en-GB"/>
        </w:rPr>
      </w:pPr>
      <w:r w:rsidRPr="00AE38CA">
        <w:rPr>
          <w:i/>
          <w:lang w:bidi="en-GB"/>
        </w:rPr>
        <w:t>Integrated multi-dimensional strategy; synergies between relevant policy areas and players</w:t>
      </w:r>
      <w:r w:rsidRPr="00AE38CA">
        <w:rPr>
          <w:lang w:bidi="en-GB"/>
        </w:rPr>
        <w:t>. In both Letters to Parliament (Klijnsma 2016a and 2016b), the State Secretary argues that cooperation between municipalities and civil society organisations would greatly enhance the effectiveness of the policy. She mentions five specific civil society organisations that are very successful in reaching children and allocates part of the available funding just for this purpose. She also insists on intensified cooperation between municipal departments. Regarding further elaboration of the policy, Administrative Agreements have been made between the government and the representative of the Dutch municipalities, The Association of Netherlands Municipalities (VNG).</w:t>
      </w:r>
    </w:p>
    <w:p w14:paraId="0F605C6F" w14:textId="77777777" w:rsidR="00315DC0" w:rsidRPr="00AE38CA" w:rsidRDefault="00315DC0" w:rsidP="00315DC0">
      <w:pPr>
        <w:pStyle w:val="Plattetekst"/>
        <w:rPr>
          <w:i/>
          <w:lang w:bidi="en-GB"/>
        </w:rPr>
      </w:pPr>
      <w:r w:rsidRPr="00AE38CA">
        <w:rPr>
          <w:i/>
          <w:lang w:bidi="en-GB"/>
        </w:rPr>
        <w:t>Good balance between universal and targeted policies and sufficient focus on children at increased risk because of multiple disadvantages</w:t>
      </w:r>
      <w:r w:rsidRPr="00AE38CA">
        <w:rPr>
          <w:lang w:bidi="en-GB"/>
        </w:rPr>
        <w:t>. Dutch social policy has been ‘universal’ in character for a long time, also before 2013. The SER adopts a critical attitude towards this: the current (child) poverty policy is insufficiently effective (SER 2017, p 60-61). In addition, the reach of the policy is far from optimal.</w:t>
      </w:r>
    </w:p>
    <w:p w14:paraId="7EC6BA87" w14:textId="77777777" w:rsidR="00315DC0" w:rsidRPr="00AE38CA" w:rsidRDefault="00315DC0" w:rsidP="00315DC0">
      <w:pPr>
        <w:pStyle w:val="Plattetekst"/>
        <w:rPr>
          <w:i/>
          <w:lang w:bidi="en-GB"/>
        </w:rPr>
      </w:pPr>
      <w:r w:rsidRPr="00AE38CA">
        <w:rPr>
          <w:i/>
          <w:lang w:bidi="en-GB"/>
        </w:rPr>
        <w:t>Involvement of relevant stakeholders; effort to support the involvement of children themselves</w:t>
      </w:r>
      <w:r w:rsidRPr="00AE38CA">
        <w:rPr>
          <w:lang w:bidi="en-GB"/>
        </w:rPr>
        <w:t>. The VNG and the five civil society organisations have been involved in the process of policy elaboration; the cooperation is laid down in Administrative Agreements (between the government and the VNG); and the five organisations have described the contours of their contributions. Both documents were enclosed in the Letter to Parliament (Klijnsma 2016b). Children are also involved in the policy process. At ten primary schools, the State Secretary will discuss with the children (up to 12 years) how to best spend the additional budget (100 million) for child poverty reduction. Something similar is organised for older children (Klijnsma 2016b, p 3).</w:t>
      </w:r>
    </w:p>
    <w:p w14:paraId="28EED3B1" w14:textId="3794840A" w:rsidR="00315DC0" w:rsidRPr="00AE38CA" w:rsidRDefault="00315DC0" w:rsidP="00315DC0">
      <w:pPr>
        <w:pStyle w:val="Plattetekst"/>
        <w:rPr>
          <w:i/>
          <w:lang w:bidi="en-GB"/>
        </w:rPr>
      </w:pPr>
      <w:r w:rsidRPr="00AE38CA">
        <w:rPr>
          <w:i/>
          <w:lang w:bidi="en-GB"/>
        </w:rPr>
        <w:t>Evidence-based approaches and assessment of the impact of policies introduced in response to the crisis on children</w:t>
      </w:r>
      <w:r w:rsidRPr="00AE38CA">
        <w:rPr>
          <w:lang w:bidi="en-GB"/>
        </w:rPr>
        <w:t>. Since 2013, the cabinet has commissioned various studies on child poverty, recently a study was conducted by the Dutch Ombudsman for Children (</w:t>
      </w:r>
      <w:r w:rsidRPr="00AE38CA">
        <w:rPr>
          <w:i/>
          <w:lang w:bidi="en-GB"/>
        </w:rPr>
        <w:t>Kinderombudsman</w:t>
      </w:r>
      <w:r w:rsidRPr="00AE38CA">
        <w:rPr>
          <w:lang w:bidi="en-GB"/>
        </w:rPr>
        <w:t>) (not yet published) and the SER. The SER report, published in March 2017, is critical of the effectiveness of the policy pursued and recommends the cabinet to improve the policy effectiveness (SER 2017, p 60). The SER insists on the promotion of evidence-based working and on conducting more research into both policy execution and the stakeholders themselves (SER 2017, p 56). In addition, it is important that the Administrative Agreements also stipulate that the parties involved develop and exchange best practices together (Klijnsma 2016b).</w:t>
      </w:r>
    </w:p>
    <w:p w14:paraId="6D3BF082" w14:textId="77777777" w:rsidR="00315DC0" w:rsidRPr="00AE38CA" w:rsidRDefault="00315DC0" w:rsidP="00315DC0">
      <w:pPr>
        <w:pStyle w:val="Plattetekst"/>
        <w:rPr>
          <w:lang w:bidi="en-GB"/>
        </w:rPr>
      </w:pPr>
      <w:r w:rsidRPr="00AE38CA">
        <w:rPr>
          <w:i/>
          <w:lang w:bidi="en-GB"/>
        </w:rPr>
        <w:t>Respect for children's rights and attention for vulnerable groups</w:t>
      </w:r>
      <w:r w:rsidRPr="00AE38CA">
        <w:rPr>
          <w:lang w:bidi="en-GB"/>
        </w:rPr>
        <w:t>. Most Dutch social policies are generally targeted; there are no specific target group policies. An exception is that there are specific facilities for the children of asylum seekers to help them find their place in Dutch society as quickly as possible.</w:t>
      </w:r>
      <w:r w:rsidRPr="00AE38CA">
        <w:rPr>
          <w:vertAlign w:val="superscript"/>
          <w:lang w:bidi="en-GB"/>
        </w:rPr>
        <w:footnoteReference w:id="17"/>
      </w:r>
    </w:p>
    <w:p w14:paraId="232225C5" w14:textId="77777777" w:rsidR="00370246" w:rsidRPr="00AE38CA" w:rsidRDefault="00370246" w:rsidP="00DC78B4">
      <w:pPr>
        <w:pStyle w:val="Plattetekst"/>
        <w:rPr>
          <w:lang w:bidi="en-GB"/>
        </w:rPr>
      </w:pPr>
    </w:p>
    <w:p w14:paraId="31D8803D" w14:textId="0B7C3BAB" w:rsidR="00AF5BC3" w:rsidRPr="00AE38CA" w:rsidRDefault="00AF5BC3" w:rsidP="004771A1">
      <w:pPr>
        <w:pStyle w:val="Kop2"/>
      </w:pPr>
      <w:bookmarkStart w:id="14" w:name="_Toc532388673"/>
      <w:r w:rsidRPr="00AE38CA">
        <w:lastRenderedPageBreak/>
        <w:t>Costs of five rights</w:t>
      </w:r>
      <w:bookmarkEnd w:id="14"/>
      <w:r w:rsidR="00CF02C2" w:rsidRPr="00AE38CA">
        <w:t xml:space="preserve"> </w:t>
      </w:r>
    </w:p>
    <w:p w14:paraId="158E487C" w14:textId="143CE750" w:rsidR="00780599" w:rsidRPr="00AE38CA" w:rsidRDefault="004F6EC4" w:rsidP="00DC78B4">
      <w:pPr>
        <w:pStyle w:val="Plattetekst"/>
        <w:rPr>
          <w:lang w:bidi="en-GB"/>
        </w:rPr>
      </w:pPr>
      <w:r w:rsidRPr="00AE38CA">
        <w:rPr>
          <w:lang w:bidi="en-GB"/>
        </w:rPr>
        <w:t>There is some g</w:t>
      </w:r>
      <w:r w:rsidR="00780599" w:rsidRPr="00AE38CA">
        <w:rPr>
          <w:lang w:bidi="en-GB"/>
        </w:rPr>
        <w:t xml:space="preserve">eneral research </w:t>
      </w:r>
      <w:r w:rsidR="006854F6" w:rsidRPr="00AE38CA">
        <w:rPr>
          <w:lang w:bidi="en-GB"/>
        </w:rPr>
        <w:t xml:space="preserve">available </w:t>
      </w:r>
      <w:r w:rsidRPr="00AE38CA">
        <w:rPr>
          <w:lang w:bidi="en-GB"/>
        </w:rPr>
        <w:t>on the costs of a child in the Netherlands</w:t>
      </w:r>
      <w:r w:rsidR="00DE07AE" w:rsidRPr="00AE38CA">
        <w:rPr>
          <w:lang w:bidi="en-GB"/>
        </w:rPr>
        <w:t xml:space="preserve">. </w:t>
      </w:r>
    </w:p>
    <w:p w14:paraId="180A028D" w14:textId="1C3A8AFC" w:rsidR="00ED46F6" w:rsidRPr="00AE38CA" w:rsidRDefault="005240AF" w:rsidP="00ED46F6">
      <w:pPr>
        <w:pStyle w:val="Plattetekst"/>
        <w:rPr>
          <w:lang w:bidi="en-GB"/>
        </w:rPr>
      </w:pPr>
      <w:r w:rsidRPr="00AE38CA">
        <w:rPr>
          <w:lang w:bidi="en-GB"/>
        </w:rPr>
        <w:t xml:space="preserve">The CBS </w:t>
      </w:r>
      <w:r w:rsidR="00CC48AA" w:rsidRPr="00AE38CA">
        <w:rPr>
          <w:lang w:bidi="en-GB"/>
        </w:rPr>
        <w:t>(201</w:t>
      </w:r>
      <w:r w:rsidR="004B10BC" w:rsidRPr="00AE38CA">
        <w:rPr>
          <w:lang w:bidi="en-GB"/>
        </w:rPr>
        <w:t>8</w:t>
      </w:r>
      <w:r w:rsidR="00CC48AA" w:rsidRPr="00AE38CA">
        <w:rPr>
          <w:lang w:bidi="en-GB"/>
        </w:rPr>
        <w:t xml:space="preserve">) </w:t>
      </w:r>
      <w:r w:rsidRPr="00AE38CA">
        <w:rPr>
          <w:lang w:bidi="en-GB"/>
        </w:rPr>
        <w:t xml:space="preserve">determined the costs of children on behalf of the Ministry of Social Affairs and Employment. </w:t>
      </w:r>
      <w:r w:rsidR="00ED46F6" w:rsidRPr="00AE38CA">
        <w:rPr>
          <w:lang w:bidi="en-GB"/>
        </w:rPr>
        <w:t>A second useful source is Nibud (n.d.), which makes available material that can show the costs of children.</w:t>
      </w:r>
    </w:p>
    <w:p w14:paraId="68C4AD79" w14:textId="305701D5" w:rsidR="005240AF" w:rsidRPr="00AE38CA" w:rsidRDefault="005240AF" w:rsidP="005240AF">
      <w:pPr>
        <w:pStyle w:val="Plattetekst"/>
        <w:rPr>
          <w:lang w:bidi="en-GB"/>
        </w:rPr>
      </w:pPr>
      <w:r w:rsidRPr="00AE38CA">
        <w:rPr>
          <w:lang w:bidi="en-GB"/>
        </w:rPr>
        <w:t>One child costs on average 17</w:t>
      </w:r>
      <w:r w:rsidR="00886173" w:rsidRPr="00AE38CA">
        <w:rPr>
          <w:lang w:bidi="en-GB"/>
        </w:rPr>
        <w:t xml:space="preserve">% </w:t>
      </w:r>
      <w:r w:rsidRPr="00AE38CA">
        <w:rPr>
          <w:lang w:bidi="en-GB"/>
        </w:rPr>
        <w:t>of the disposable income. Two children cost an average of 26</w:t>
      </w:r>
      <w:r w:rsidR="00886173" w:rsidRPr="00AE38CA">
        <w:rPr>
          <w:lang w:bidi="en-GB"/>
        </w:rPr>
        <w:t xml:space="preserve">% </w:t>
      </w:r>
      <w:r w:rsidRPr="00AE38CA">
        <w:rPr>
          <w:lang w:bidi="en-GB"/>
        </w:rPr>
        <w:t>of the income, three children 33</w:t>
      </w:r>
      <w:r w:rsidR="00886173" w:rsidRPr="00AE38CA">
        <w:rPr>
          <w:lang w:bidi="en-GB"/>
        </w:rPr>
        <w:t xml:space="preserve">% </w:t>
      </w:r>
      <w:r w:rsidRPr="00AE38CA">
        <w:rPr>
          <w:lang w:bidi="en-GB"/>
        </w:rPr>
        <w:t>and four children 40</w:t>
      </w:r>
      <w:r w:rsidR="00886173" w:rsidRPr="00AE38CA">
        <w:rPr>
          <w:lang w:bidi="en-GB"/>
        </w:rPr>
        <w:t>%</w:t>
      </w:r>
      <w:r w:rsidRPr="00AE38CA">
        <w:rPr>
          <w:lang w:bidi="en-GB"/>
        </w:rPr>
        <w:t>.</w:t>
      </w:r>
    </w:p>
    <w:p w14:paraId="33692B82" w14:textId="34C4B4DD" w:rsidR="002A36D8" w:rsidRPr="00AE38CA" w:rsidRDefault="000E2A3A" w:rsidP="004771A1">
      <w:pPr>
        <w:pStyle w:val="Kop1"/>
      </w:pPr>
      <w:bookmarkStart w:id="15" w:name="_Toc532388674"/>
      <w:r w:rsidRPr="00AE38CA">
        <w:br w:type="page"/>
      </w:r>
      <w:r w:rsidR="004771A1" w:rsidRPr="00AE38CA">
        <w:lastRenderedPageBreak/>
        <w:t>Use of EU Funds</w:t>
      </w:r>
      <w:bookmarkEnd w:id="15"/>
      <w:r w:rsidR="002A36D8" w:rsidRPr="00AE38CA">
        <w:t xml:space="preserve"> </w:t>
      </w:r>
    </w:p>
    <w:p w14:paraId="64B6F3C4" w14:textId="5B05F745" w:rsidR="004771A1" w:rsidRPr="00AE38CA" w:rsidRDefault="004771A1" w:rsidP="00D46C84">
      <w:pPr>
        <w:pStyle w:val="Kop2"/>
      </w:pPr>
      <w:bookmarkStart w:id="16" w:name="_Toc532388675"/>
      <w:r w:rsidRPr="00AE38CA">
        <w:t>Extent of use</w:t>
      </w:r>
      <w:bookmarkEnd w:id="16"/>
      <w:r w:rsidR="00FD5483" w:rsidRPr="00AE38CA">
        <w:rPr>
          <w:rStyle w:val="Voetnootmarkering"/>
        </w:rPr>
        <w:footnoteReference w:id="18"/>
      </w:r>
    </w:p>
    <w:p w14:paraId="304013A9" w14:textId="032E4ADD" w:rsidR="00663B29" w:rsidRPr="00AE38CA" w:rsidRDefault="00663B29" w:rsidP="00663B29">
      <w:pPr>
        <w:pStyle w:val="Plattetekst"/>
        <w:rPr>
          <w:lang w:bidi="en-GB"/>
        </w:rPr>
      </w:pPr>
      <w:r w:rsidRPr="00AE38CA">
        <w:rPr>
          <w:lang w:bidi="en-GB"/>
        </w:rPr>
        <w:t xml:space="preserve">The Dutch ‘ESF Annual Implementation Report 2014-2020 – Implementation years 2014 and 2015’ (Agency of Social Affairs and Employment </w:t>
      </w:r>
      <w:r w:rsidR="002C23EE" w:rsidRPr="00AE38CA">
        <w:rPr>
          <w:lang w:bidi="en-GB"/>
        </w:rPr>
        <w:t>[</w:t>
      </w:r>
      <w:r w:rsidRPr="00AE38CA">
        <w:rPr>
          <w:lang w:bidi="en-GB"/>
        </w:rPr>
        <w:t>Agentschap SZW</w:t>
      </w:r>
      <w:r w:rsidR="002C23EE" w:rsidRPr="00AE38CA">
        <w:rPr>
          <w:lang w:bidi="en-GB"/>
        </w:rPr>
        <w:t>]</w:t>
      </w:r>
      <w:r w:rsidRPr="00AE38CA">
        <w:rPr>
          <w:lang w:bidi="en-GB"/>
        </w:rPr>
        <w:t>, 2016) states the following with regard to using the budgets:</w:t>
      </w:r>
    </w:p>
    <w:p w14:paraId="253F0720" w14:textId="49D65249" w:rsidR="00663B29" w:rsidRPr="00AE38CA" w:rsidRDefault="00B70F6A" w:rsidP="00663B29">
      <w:pPr>
        <w:pStyle w:val="Plattetekst"/>
        <w:rPr>
          <w:i/>
          <w:lang w:bidi="en-GB"/>
        </w:rPr>
      </w:pPr>
      <w:r w:rsidRPr="00AE38CA">
        <w:rPr>
          <w:lang w:bidi="en-GB"/>
        </w:rPr>
        <w:t>‘</w:t>
      </w:r>
      <w:r w:rsidR="00663B29" w:rsidRPr="00AE38CA">
        <w:rPr>
          <w:i/>
          <w:lang w:bidi="en-GB"/>
        </w:rPr>
        <w:t xml:space="preserve">In 2014, ESF 2014-2020 started by publishing the subsidy scheme ESF 2014-2020 on </w:t>
      </w:r>
      <w:r w:rsidR="001866FA" w:rsidRPr="00AE38CA">
        <w:rPr>
          <w:i/>
          <w:lang w:bidi="en-GB"/>
        </w:rPr>
        <w:br/>
      </w:r>
      <w:r w:rsidR="00663B29" w:rsidRPr="00AE38CA">
        <w:rPr>
          <w:i/>
          <w:lang w:bidi="en-GB"/>
        </w:rPr>
        <w:t>31 March 2014. The Netherlands chose to focus on using its available means on the following two themes:</w:t>
      </w:r>
    </w:p>
    <w:p w14:paraId="7E010A19" w14:textId="77777777" w:rsidR="00663B29" w:rsidRPr="00AE38CA" w:rsidRDefault="00663B29" w:rsidP="001965B0">
      <w:pPr>
        <w:pStyle w:val="Plattetekst"/>
        <w:numPr>
          <w:ilvl w:val="0"/>
          <w:numId w:val="31"/>
        </w:numPr>
        <w:rPr>
          <w:i/>
          <w:lang w:bidi="en-GB"/>
        </w:rPr>
      </w:pPr>
      <w:r w:rsidRPr="00AE38CA">
        <w:rPr>
          <w:i/>
          <w:lang w:bidi="en-GB"/>
        </w:rPr>
        <w:t>promoting social inclusion and combatting poverty and discrimination;</w:t>
      </w:r>
    </w:p>
    <w:p w14:paraId="08ED591F" w14:textId="77777777" w:rsidR="00663B29" w:rsidRPr="00AE38CA" w:rsidRDefault="00663B29" w:rsidP="001965B0">
      <w:pPr>
        <w:pStyle w:val="Plattetekst"/>
        <w:numPr>
          <w:ilvl w:val="0"/>
          <w:numId w:val="31"/>
        </w:numPr>
        <w:rPr>
          <w:i/>
          <w:lang w:bidi="en-GB"/>
        </w:rPr>
      </w:pPr>
      <w:r w:rsidRPr="00AE38CA">
        <w:rPr>
          <w:i/>
          <w:lang w:bidi="en-GB"/>
        </w:rPr>
        <w:t>promoting sustainable and high quality employment and supporting labour mobility.</w:t>
      </w:r>
    </w:p>
    <w:p w14:paraId="1480AD71" w14:textId="3237F7AA" w:rsidR="00663B29" w:rsidRPr="00AE38CA" w:rsidRDefault="00663B29" w:rsidP="00663B29">
      <w:pPr>
        <w:pStyle w:val="Plattetekst"/>
        <w:rPr>
          <w:lang w:bidi="en-GB"/>
        </w:rPr>
      </w:pPr>
      <w:r w:rsidRPr="00AE38CA">
        <w:rPr>
          <w:i/>
          <w:lang w:bidi="en-GB"/>
        </w:rPr>
        <w:t>With regard to the first theme, ESF funding is used to reduce youth unemployment and to invest in the reintegration of people with an occupational disability, unemployed over fifty years old, unemployed people who do not receive benefits, including (low-skilled) women. This theme also includes removing language deficiencies. In addition, part of the ESF funds are used to support (former) students of secondary special education and labour-oriented practical training. They receive extra support to obtain a basic qualification and job placement support. With regard to the second theme, efforts are made to keep people productively employed longer and to stimulate age-aware personnel strategies by means of ESF.</w:t>
      </w:r>
      <w:r w:rsidR="001866FA" w:rsidRPr="00AE38CA">
        <w:rPr>
          <w:lang w:bidi="en-GB"/>
        </w:rPr>
        <w:t>’</w:t>
      </w:r>
    </w:p>
    <w:p w14:paraId="278A7DDA" w14:textId="77777777" w:rsidR="009229CC" w:rsidRPr="00AE38CA" w:rsidRDefault="009229CC" w:rsidP="00EB71D2">
      <w:pPr>
        <w:pStyle w:val="Plattetekst"/>
        <w:rPr>
          <w:lang w:bidi="en-GB"/>
        </w:rPr>
      </w:pPr>
    </w:p>
    <w:p w14:paraId="070AD7B6" w14:textId="52054EB8" w:rsidR="00EB71D2" w:rsidRPr="00AE38CA" w:rsidRDefault="00EB71D2" w:rsidP="00EB71D2">
      <w:pPr>
        <w:pStyle w:val="Plattetekst"/>
        <w:rPr>
          <w:lang w:bidi="en-GB"/>
        </w:rPr>
      </w:pPr>
      <w:r w:rsidRPr="00AE38CA">
        <w:rPr>
          <w:lang w:bidi="en-GB"/>
        </w:rPr>
        <w:t xml:space="preserve">Table </w:t>
      </w:r>
      <w:r w:rsidR="003F24E2" w:rsidRPr="00AE38CA">
        <w:rPr>
          <w:lang w:bidi="en-GB"/>
        </w:rPr>
        <w:t>4</w:t>
      </w:r>
      <w:r w:rsidRPr="00AE38CA">
        <w:rPr>
          <w:lang w:bidi="en-GB"/>
        </w:rPr>
        <w:t xml:space="preserve"> shows the extent to which the Netherlands can fall back on and uses European funds. The table, based on data from ‘Operational Programmes Financial Plan and Implementation by Investment Priority (20 April 2017)’ shows that:</w:t>
      </w:r>
    </w:p>
    <w:p w14:paraId="4602077B" w14:textId="6B45AC26" w:rsidR="00EB71D2" w:rsidRPr="00AE38CA" w:rsidRDefault="00EB71D2" w:rsidP="005A724C">
      <w:pPr>
        <w:pStyle w:val="Plattetekst"/>
        <w:tabs>
          <w:tab w:val="left" w:pos="284"/>
        </w:tabs>
        <w:ind w:left="284" w:hanging="284"/>
        <w:rPr>
          <w:lang w:bidi="en-GB"/>
        </w:rPr>
      </w:pPr>
      <w:r w:rsidRPr="00AE38CA">
        <w:rPr>
          <w:lang w:bidi="en-GB"/>
        </w:rPr>
        <w:t xml:space="preserve">- </w:t>
      </w:r>
      <w:r w:rsidRPr="00AE38CA">
        <w:rPr>
          <w:lang w:bidi="en-GB"/>
        </w:rPr>
        <w:tab/>
        <w:t>the Netherlands ha</w:t>
      </w:r>
      <w:r w:rsidR="00840292" w:rsidRPr="00AE38CA">
        <w:rPr>
          <w:lang w:bidi="en-GB"/>
        </w:rPr>
        <w:t>s</w:t>
      </w:r>
      <w:r w:rsidRPr="00AE38CA">
        <w:rPr>
          <w:lang w:bidi="en-GB"/>
        </w:rPr>
        <w:t xml:space="preserve"> budgets for priorit</w:t>
      </w:r>
      <w:r w:rsidR="00663B29" w:rsidRPr="00AE38CA">
        <w:rPr>
          <w:lang w:bidi="en-GB"/>
        </w:rPr>
        <w:t>y</w:t>
      </w:r>
      <w:r w:rsidRPr="00AE38CA">
        <w:rPr>
          <w:lang w:bidi="en-GB"/>
        </w:rPr>
        <w:t xml:space="preserve"> 8 (employment</w:t>
      </w:r>
      <w:r w:rsidR="00663B29" w:rsidRPr="00AE38CA">
        <w:rPr>
          <w:lang w:bidi="en-GB"/>
        </w:rPr>
        <w:t>:</w:t>
      </w:r>
      <w:r w:rsidRPr="00AE38CA">
        <w:rPr>
          <w:lang w:bidi="en-GB"/>
        </w:rPr>
        <w:t xml:space="preserve"> </w:t>
      </w:r>
      <w:r w:rsidR="00663B29" w:rsidRPr="00AE38CA">
        <w:rPr>
          <w:lang w:bidi="en-GB"/>
        </w:rPr>
        <w:t xml:space="preserve">25 </w:t>
      </w:r>
      <w:r w:rsidRPr="00AE38CA">
        <w:rPr>
          <w:lang w:bidi="en-GB"/>
        </w:rPr>
        <w:t>million</w:t>
      </w:r>
      <w:r w:rsidR="00663B29" w:rsidRPr="00AE38CA">
        <w:rPr>
          <w:lang w:bidi="en-GB"/>
        </w:rPr>
        <w:t>, active and healthy ageing: 101 million</w:t>
      </w:r>
      <w:r w:rsidRPr="00AE38CA">
        <w:rPr>
          <w:lang w:bidi="en-GB"/>
        </w:rPr>
        <w:t xml:space="preserve">) and </w:t>
      </w:r>
      <w:r w:rsidR="00663B29" w:rsidRPr="00AE38CA">
        <w:rPr>
          <w:lang w:bidi="en-GB"/>
        </w:rPr>
        <w:t xml:space="preserve">priority </w:t>
      </w:r>
      <w:r w:rsidRPr="00AE38CA">
        <w:rPr>
          <w:lang w:bidi="en-GB"/>
        </w:rPr>
        <w:t>9 (</w:t>
      </w:r>
      <w:r w:rsidR="00663B29" w:rsidRPr="00AE38CA">
        <w:rPr>
          <w:lang w:bidi="en-GB"/>
        </w:rPr>
        <w:t xml:space="preserve">active </w:t>
      </w:r>
      <w:r w:rsidRPr="00AE38CA">
        <w:rPr>
          <w:lang w:bidi="en-GB"/>
        </w:rPr>
        <w:t>inclusion, 361 million)</w:t>
      </w:r>
      <w:r w:rsidR="00663B29" w:rsidRPr="00AE38CA">
        <w:rPr>
          <w:lang w:bidi="en-GB"/>
        </w:rPr>
        <w:t>,</w:t>
      </w:r>
      <w:r w:rsidRPr="00AE38CA">
        <w:rPr>
          <w:lang w:bidi="en-GB"/>
        </w:rPr>
        <w:t xml:space="preserve"> but not for priority 10 (education);</w:t>
      </w:r>
    </w:p>
    <w:p w14:paraId="56E5D386" w14:textId="77777777" w:rsidR="00EB71D2" w:rsidRPr="00AE38CA" w:rsidRDefault="00EB71D2" w:rsidP="005A724C">
      <w:pPr>
        <w:pStyle w:val="Plattetekst"/>
        <w:tabs>
          <w:tab w:val="left" w:pos="284"/>
        </w:tabs>
        <w:ind w:left="284" w:hanging="284"/>
        <w:rPr>
          <w:lang w:bidi="en-GB"/>
        </w:rPr>
      </w:pPr>
      <w:r w:rsidRPr="00AE38CA">
        <w:rPr>
          <w:lang w:bidi="en-GB"/>
        </w:rPr>
        <w:t xml:space="preserve">- </w:t>
      </w:r>
      <w:r w:rsidRPr="00AE38CA">
        <w:rPr>
          <w:lang w:bidi="en-GB"/>
        </w:rPr>
        <w:tab/>
        <w:t>within all priorities the Netherlands co-finances 50%, i.e. EU contributions are always equal to contributions from the Netherlands (column F in table 1 below);</w:t>
      </w:r>
    </w:p>
    <w:p w14:paraId="49F08D5A" w14:textId="65B6F9B5" w:rsidR="00EB71D2" w:rsidRPr="00AE38CA" w:rsidRDefault="00EB71D2" w:rsidP="005A724C">
      <w:pPr>
        <w:pStyle w:val="Plattetekst"/>
        <w:tabs>
          <w:tab w:val="left" w:pos="284"/>
        </w:tabs>
        <w:ind w:left="284" w:hanging="284"/>
        <w:rPr>
          <w:lang w:bidi="en-GB"/>
        </w:rPr>
      </w:pPr>
      <w:r w:rsidRPr="00AE38CA">
        <w:rPr>
          <w:lang w:bidi="en-GB"/>
        </w:rPr>
        <w:t xml:space="preserve">- </w:t>
      </w:r>
      <w:r w:rsidRPr="00AE38CA">
        <w:rPr>
          <w:lang w:bidi="en-GB"/>
        </w:rPr>
        <w:tab/>
        <w:t>with regard to all priorities the Netherlands spen</w:t>
      </w:r>
      <w:r w:rsidR="00130414" w:rsidRPr="00AE38CA">
        <w:rPr>
          <w:lang w:bidi="en-GB"/>
        </w:rPr>
        <w:t>ds</w:t>
      </w:r>
      <w:r w:rsidRPr="00AE38CA">
        <w:rPr>
          <w:lang w:bidi="en-GB"/>
        </w:rPr>
        <w:t xml:space="preserve"> (a fraction less than) half of the EU budget available (absorbing rate, column E)</w:t>
      </w:r>
      <w:r w:rsidR="007F74AC" w:rsidRPr="00AE38CA">
        <w:rPr>
          <w:lang w:bidi="en-GB"/>
        </w:rPr>
        <w:t>.</w:t>
      </w:r>
    </w:p>
    <w:p w14:paraId="355D0D38" w14:textId="14D61488" w:rsidR="00EB71D2" w:rsidRPr="00AE38CA" w:rsidRDefault="00EB71D2" w:rsidP="00EB71D2">
      <w:pPr>
        <w:pStyle w:val="Plattetekst"/>
        <w:rPr>
          <w:lang w:bidi="en-GB"/>
        </w:rPr>
      </w:pPr>
    </w:p>
    <w:p w14:paraId="73DE5D13" w14:textId="7AA433CE" w:rsidR="006670CC" w:rsidRPr="00AE38CA" w:rsidRDefault="00425EB3" w:rsidP="00EB71D2">
      <w:pPr>
        <w:pStyle w:val="Plattetekst"/>
        <w:rPr>
          <w:b/>
          <w:lang w:bidi="en-GB"/>
        </w:rPr>
      </w:pPr>
      <w:r w:rsidRPr="00AE38CA">
        <w:rPr>
          <w:b/>
          <w:lang w:bidi="en-GB"/>
        </w:rPr>
        <w:t>EU-fu</w:t>
      </w:r>
      <w:r w:rsidR="00F46CB1" w:rsidRPr="00AE38CA">
        <w:rPr>
          <w:b/>
          <w:lang w:bidi="en-GB"/>
        </w:rPr>
        <w:t>nds and the TGs</w:t>
      </w:r>
      <w:r w:rsidR="00F91969" w:rsidRPr="00AE38CA">
        <w:rPr>
          <w:b/>
          <w:lang w:bidi="en-GB"/>
        </w:rPr>
        <w:t xml:space="preserve"> in the Netherlands</w:t>
      </w:r>
    </w:p>
    <w:p w14:paraId="4E4D951C" w14:textId="1DA6CD68" w:rsidR="0096447F" w:rsidRPr="00AE38CA" w:rsidRDefault="00181F14" w:rsidP="00EB71D2">
      <w:pPr>
        <w:pStyle w:val="Plattetekst"/>
        <w:rPr>
          <w:lang w:bidi="en-GB"/>
        </w:rPr>
      </w:pPr>
      <w:r w:rsidRPr="00AE38CA">
        <w:rPr>
          <w:lang w:bidi="en-GB"/>
        </w:rPr>
        <w:t>The c</w:t>
      </w:r>
      <w:r w:rsidR="00F46CB1" w:rsidRPr="00AE38CA">
        <w:rPr>
          <w:lang w:bidi="en-GB"/>
        </w:rPr>
        <w:t xml:space="preserve">onsultation </w:t>
      </w:r>
      <w:r w:rsidR="000C090D" w:rsidRPr="00AE38CA">
        <w:rPr>
          <w:lang w:bidi="en-GB"/>
        </w:rPr>
        <w:t xml:space="preserve">of the </w:t>
      </w:r>
      <w:r w:rsidR="0096447F" w:rsidRPr="00AE38CA">
        <w:rPr>
          <w:lang w:bidi="en-GB"/>
        </w:rPr>
        <w:t>managing authorities</w:t>
      </w:r>
      <w:r w:rsidR="000C090D" w:rsidRPr="00AE38CA">
        <w:rPr>
          <w:lang w:bidi="en-GB"/>
        </w:rPr>
        <w:t xml:space="preserve"> and </w:t>
      </w:r>
      <w:r w:rsidRPr="00AE38CA">
        <w:rPr>
          <w:lang w:bidi="en-GB"/>
        </w:rPr>
        <w:t xml:space="preserve">the </w:t>
      </w:r>
      <w:r w:rsidR="000C090D" w:rsidRPr="00AE38CA">
        <w:rPr>
          <w:lang w:bidi="en-GB"/>
        </w:rPr>
        <w:t>analysis o</w:t>
      </w:r>
      <w:r w:rsidR="00F91969" w:rsidRPr="00AE38CA">
        <w:rPr>
          <w:lang w:bidi="en-GB"/>
        </w:rPr>
        <w:t>f</w:t>
      </w:r>
      <w:r w:rsidR="000C090D" w:rsidRPr="00AE38CA">
        <w:rPr>
          <w:lang w:bidi="en-GB"/>
        </w:rPr>
        <w:t xml:space="preserve"> project</w:t>
      </w:r>
      <w:r w:rsidR="00BD3ECD" w:rsidRPr="00AE38CA">
        <w:rPr>
          <w:lang w:bidi="en-GB"/>
        </w:rPr>
        <w:t xml:space="preserve"> </w:t>
      </w:r>
      <w:r w:rsidR="000C090D" w:rsidRPr="00AE38CA">
        <w:rPr>
          <w:lang w:bidi="en-GB"/>
        </w:rPr>
        <w:t xml:space="preserve">documentation show that </w:t>
      </w:r>
      <w:r w:rsidR="00496F2E" w:rsidRPr="00AE38CA">
        <w:rPr>
          <w:lang w:bidi="en-GB"/>
        </w:rPr>
        <w:t xml:space="preserve">none of the </w:t>
      </w:r>
      <w:r w:rsidR="000B3D3E" w:rsidRPr="00AE38CA">
        <w:rPr>
          <w:lang w:bidi="en-GB"/>
        </w:rPr>
        <w:t xml:space="preserve">projects </w:t>
      </w:r>
      <w:r w:rsidR="00AF221C" w:rsidRPr="00AE38CA">
        <w:rPr>
          <w:lang w:bidi="en-GB"/>
        </w:rPr>
        <w:t>u</w:t>
      </w:r>
      <w:r w:rsidR="000B3D3E" w:rsidRPr="00AE38CA">
        <w:rPr>
          <w:lang w:bidi="en-GB"/>
        </w:rPr>
        <w:t xml:space="preserve">ndertaken are </w:t>
      </w:r>
      <w:r w:rsidR="009C78D6" w:rsidRPr="00AE38CA">
        <w:rPr>
          <w:lang w:bidi="en-GB"/>
        </w:rPr>
        <w:t xml:space="preserve">directly </w:t>
      </w:r>
      <w:r w:rsidR="00496F2E" w:rsidRPr="00AE38CA">
        <w:rPr>
          <w:lang w:bidi="en-GB"/>
        </w:rPr>
        <w:t xml:space="preserve">targeted </w:t>
      </w:r>
      <w:r w:rsidR="00840292" w:rsidRPr="00AE38CA">
        <w:rPr>
          <w:lang w:bidi="en-GB"/>
        </w:rPr>
        <w:t>to</w:t>
      </w:r>
      <w:r w:rsidR="00496F2E" w:rsidRPr="00AE38CA">
        <w:rPr>
          <w:lang w:bidi="en-GB"/>
        </w:rPr>
        <w:t xml:space="preserve"> the TGs. </w:t>
      </w:r>
      <w:r w:rsidR="00BD3ECD" w:rsidRPr="00AE38CA">
        <w:rPr>
          <w:lang w:bidi="en-GB"/>
        </w:rPr>
        <w:t>Th</w:t>
      </w:r>
      <w:r w:rsidR="00840292" w:rsidRPr="00AE38CA">
        <w:rPr>
          <w:lang w:bidi="en-GB"/>
        </w:rPr>
        <w:t>is</w:t>
      </w:r>
      <w:r w:rsidR="00BD3ECD" w:rsidRPr="00AE38CA">
        <w:rPr>
          <w:lang w:bidi="en-GB"/>
        </w:rPr>
        <w:t xml:space="preserve"> leads to the </w:t>
      </w:r>
      <w:r w:rsidR="009C78D6" w:rsidRPr="00AE38CA">
        <w:rPr>
          <w:lang w:bidi="en-GB"/>
        </w:rPr>
        <w:t xml:space="preserve">conclusion that </w:t>
      </w:r>
      <w:r w:rsidR="00EB73DD" w:rsidRPr="00AE38CA">
        <w:rPr>
          <w:lang w:bidi="en-GB"/>
        </w:rPr>
        <w:t xml:space="preserve">the Netherlands does not use </w:t>
      </w:r>
      <w:r w:rsidR="009C78D6" w:rsidRPr="00AE38CA">
        <w:rPr>
          <w:lang w:bidi="en-GB"/>
        </w:rPr>
        <w:t xml:space="preserve">EU-funds </w:t>
      </w:r>
      <w:r w:rsidR="00EB73DD" w:rsidRPr="00AE38CA">
        <w:rPr>
          <w:lang w:bidi="en-GB"/>
        </w:rPr>
        <w:t>for the direct benefit of the TGs</w:t>
      </w:r>
      <w:r w:rsidR="00815923" w:rsidRPr="00AE38CA">
        <w:rPr>
          <w:lang w:bidi="en-GB"/>
        </w:rPr>
        <w:t xml:space="preserve"> on the PAs under </w:t>
      </w:r>
      <w:r w:rsidR="00E02B9B" w:rsidRPr="00AE38CA">
        <w:rPr>
          <w:lang w:bidi="en-GB"/>
        </w:rPr>
        <w:t>scrutiny.</w:t>
      </w:r>
    </w:p>
    <w:p w14:paraId="4DD0E919" w14:textId="2D64B6D8" w:rsidR="00EB71D2" w:rsidRPr="00AE38CA" w:rsidRDefault="000D19A0" w:rsidP="00EB71D2">
      <w:pPr>
        <w:pStyle w:val="Plattetekst"/>
        <w:rPr>
          <w:b/>
          <w:lang w:bidi="en-GB"/>
        </w:rPr>
      </w:pPr>
      <w:r w:rsidRPr="00AE38CA">
        <w:rPr>
          <w:lang w:bidi="en-GB"/>
        </w:rPr>
        <w:br w:type="page"/>
      </w:r>
      <w:r w:rsidR="00EB71D2" w:rsidRPr="00AE38CA">
        <w:rPr>
          <w:b/>
          <w:lang w:bidi="en-GB"/>
        </w:rPr>
        <w:lastRenderedPageBreak/>
        <w:t xml:space="preserve">Table </w:t>
      </w:r>
      <w:r w:rsidR="003F24E2" w:rsidRPr="00AE38CA">
        <w:rPr>
          <w:b/>
          <w:lang w:bidi="en-GB"/>
        </w:rPr>
        <w:t>4</w:t>
      </w:r>
      <w:r w:rsidR="00205CBB" w:rsidRPr="00AE38CA">
        <w:rPr>
          <w:b/>
          <w:lang w:bidi="en-GB"/>
        </w:rPr>
        <w:t>:</w:t>
      </w:r>
      <w:r w:rsidR="00EB71D2" w:rsidRPr="00AE38CA">
        <w:rPr>
          <w:b/>
          <w:lang w:bidi="en-GB"/>
        </w:rPr>
        <w:t xml:space="preserve"> Financial overview (budgets, expenses, declarations</w:t>
      </w:r>
      <w:r w:rsidR="002A20C4" w:rsidRPr="00AE38CA">
        <w:rPr>
          <w:b/>
          <w:lang w:bidi="en-GB"/>
        </w:rPr>
        <w:t>;</w:t>
      </w:r>
      <w:r w:rsidR="00867C1E" w:rsidRPr="00AE38CA">
        <w:rPr>
          <w:b/>
          <w:lang w:bidi="en-GB"/>
        </w:rPr>
        <w:t xml:space="preserve"> by thematic objectives</w:t>
      </w:r>
      <w:r w:rsidR="00EB71D2" w:rsidRPr="00AE38CA">
        <w:rPr>
          <w:b/>
          <w:lang w:bidi="en-GB"/>
        </w:rPr>
        <w:t>)</w:t>
      </w:r>
    </w:p>
    <w:p w14:paraId="57EB1550" w14:textId="18FC574B" w:rsidR="0058008A" w:rsidRPr="00AE38CA" w:rsidRDefault="004268D4" w:rsidP="00EB71D2">
      <w:pPr>
        <w:pStyle w:val="Plattetekst"/>
        <w:rPr>
          <w:lang w:bidi="en-GB"/>
        </w:rPr>
      </w:pPr>
      <w:r w:rsidRPr="00AE38CA">
        <w:rPr>
          <w:noProof/>
          <w:lang w:val="en-IE" w:eastAsia="en-IE"/>
        </w:rPr>
        <w:drawing>
          <wp:inline distT="0" distB="0" distL="0" distR="0" wp14:anchorId="09CED4C8" wp14:editId="1F083595">
            <wp:extent cx="5838825" cy="74199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38825" cy="7419975"/>
                    </a:xfrm>
                    <a:prstGeom prst="rect">
                      <a:avLst/>
                    </a:prstGeom>
                    <a:noFill/>
                    <a:ln>
                      <a:noFill/>
                    </a:ln>
                  </pic:spPr>
                </pic:pic>
              </a:graphicData>
            </a:graphic>
          </wp:inline>
        </w:drawing>
      </w:r>
    </w:p>
    <w:p w14:paraId="10BF9056" w14:textId="5732ED75" w:rsidR="00EB71D2" w:rsidRPr="00AE38CA" w:rsidRDefault="00EB71D2" w:rsidP="00EB71D2">
      <w:pPr>
        <w:pStyle w:val="Plattetekst"/>
        <w:rPr>
          <w:lang w:bidi="en-GB"/>
        </w:rPr>
      </w:pPr>
      <w:r w:rsidRPr="00AE38CA">
        <w:rPr>
          <w:lang w:bidi="en-GB"/>
        </w:rPr>
        <w:t>Source: Operational Programmes Financial Plan and Implementation by Investment Priority (20 April 2017)</w:t>
      </w:r>
    </w:p>
    <w:p w14:paraId="2010E166" w14:textId="77777777" w:rsidR="00B853BF" w:rsidRPr="00AE38CA" w:rsidRDefault="00B853BF" w:rsidP="00434F57">
      <w:pPr>
        <w:pStyle w:val="Plattetekst"/>
        <w:rPr>
          <w:lang w:bidi="en-GB"/>
        </w:rPr>
      </w:pPr>
    </w:p>
    <w:p w14:paraId="0A3F3ECD" w14:textId="541F4147" w:rsidR="009229CC" w:rsidRPr="00AE38CA" w:rsidRDefault="009229CC" w:rsidP="00434F57">
      <w:pPr>
        <w:pStyle w:val="Plattetekst"/>
        <w:rPr>
          <w:lang w:bidi="en-GB"/>
        </w:rPr>
      </w:pPr>
    </w:p>
    <w:p w14:paraId="3758F7B8" w14:textId="77777777" w:rsidR="009229CC" w:rsidRPr="00AE38CA" w:rsidRDefault="009229CC" w:rsidP="00434F57">
      <w:pPr>
        <w:pStyle w:val="Plattetekst"/>
        <w:rPr>
          <w:lang w:bidi="en-GB"/>
        </w:rPr>
      </w:pPr>
    </w:p>
    <w:p w14:paraId="63C5C53F" w14:textId="770C39D4" w:rsidR="004771A1" w:rsidRPr="00AE38CA" w:rsidRDefault="004771A1" w:rsidP="00D46C84">
      <w:pPr>
        <w:pStyle w:val="Kop2"/>
      </w:pPr>
      <w:bookmarkStart w:id="17" w:name="_Toc532388676"/>
      <w:r w:rsidRPr="00AE38CA">
        <w:lastRenderedPageBreak/>
        <w:t>Effectiveness</w:t>
      </w:r>
      <w:bookmarkEnd w:id="17"/>
    </w:p>
    <w:p w14:paraId="38589A7F" w14:textId="78C4C3DC" w:rsidR="009229CC" w:rsidRPr="00AE38CA" w:rsidRDefault="00222E80" w:rsidP="00D46C84">
      <w:pPr>
        <w:pStyle w:val="Plattetekst"/>
        <w:rPr>
          <w:lang w:bidi="en-GB"/>
        </w:rPr>
      </w:pPr>
      <w:r w:rsidRPr="00AE38CA">
        <w:t>This theme is n</w:t>
      </w:r>
      <w:r w:rsidR="00E02B9B" w:rsidRPr="00AE38CA">
        <w:t xml:space="preserve">ot relevant, since </w:t>
      </w:r>
      <w:r w:rsidR="00E02B9B" w:rsidRPr="00AE38CA">
        <w:rPr>
          <w:lang w:bidi="en-GB"/>
        </w:rPr>
        <w:t>the Netherlands does not use the EU-funds for the direct benefit of the TGs on the PAs under scrutiny.</w:t>
      </w:r>
      <w:r w:rsidR="001A4DD4" w:rsidRPr="00AE38CA">
        <w:rPr>
          <w:lang w:bidi="en-GB"/>
        </w:rPr>
        <w:t xml:space="preserve"> </w:t>
      </w:r>
    </w:p>
    <w:p w14:paraId="2DD20194" w14:textId="77777777" w:rsidR="00552BEC" w:rsidRPr="00AE38CA" w:rsidRDefault="00552BEC" w:rsidP="00D46C84">
      <w:pPr>
        <w:pStyle w:val="Plattetekst"/>
        <w:rPr>
          <w:lang w:bidi="en-GB"/>
        </w:rPr>
      </w:pPr>
    </w:p>
    <w:p w14:paraId="3A2BC13F" w14:textId="1DFFFF03" w:rsidR="004771A1" w:rsidRPr="00AE38CA" w:rsidRDefault="004771A1" w:rsidP="00406CF4">
      <w:pPr>
        <w:pStyle w:val="Kop2"/>
      </w:pPr>
      <w:bookmarkStart w:id="18" w:name="_Toc532388677"/>
      <w:r w:rsidRPr="00AE38CA">
        <w:t>Improvements</w:t>
      </w:r>
      <w:bookmarkEnd w:id="18"/>
    </w:p>
    <w:p w14:paraId="28A82C86" w14:textId="6B7B0137" w:rsidR="00716BE5" w:rsidRPr="00AE38CA" w:rsidRDefault="00756DD2" w:rsidP="00D46C84">
      <w:pPr>
        <w:pStyle w:val="Plattetekst"/>
      </w:pPr>
      <w:r w:rsidRPr="00AE38CA">
        <w:t>We advise the managing authorities to evaluate the use of EU-funds</w:t>
      </w:r>
      <w:r w:rsidR="00A47ECE" w:rsidRPr="00AE38CA">
        <w:t xml:space="preserve"> </w:t>
      </w:r>
      <w:r w:rsidR="00EB479B" w:rsidRPr="00AE38CA">
        <w:t xml:space="preserve">– and the non-use </w:t>
      </w:r>
      <w:r w:rsidR="00A47ECE" w:rsidRPr="00AE38CA">
        <w:t xml:space="preserve">for </w:t>
      </w:r>
      <w:r w:rsidR="00EB479B" w:rsidRPr="00AE38CA">
        <w:t>the fo</w:t>
      </w:r>
      <w:r w:rsidR="009776A2" w:rsidRPr="00AE38CA">
        <w:t>u</w:t>
      </w:r>
      <w:r w:rsidR="00EB479B" w:rsidRPr="00AE38CA">
        <w:t>r TGs</w:t>
      </w:r>
      <w:r w:rsidR="00CD2B27" w:rsidRPr="00AE38CA">
        <w:t xml:space="preserve">, thereby taking account of the </w:t>
      </w:r>
      <w:r w:rsidR="00DF1C91" w:rsidRPr="00AE38CA">
        <w:t>outcomes of this stud</w:t>
      </w:r>
      <w:r w:rsidR="00CD2B27" w:rsidRPr="00AE38CA">
        <w:t>y</w:t>
      </w:r>
      <w:r w:rsidR="00AB0AE0" w:rsidRPr="00AE38CA">
        <w:t xml:space="preserve"> on </w:t>
      </w:r>
      <w:r w:rsidR="00890774" w:rsidRPr="00AE38CA">
        <w:t xml:space="preserve">(shortcomings in) </w:t>
      </w:r>
      <w:r w:rsidR="009D345B" w:rsidRPr="00AE38CA">
        <w:t xml:space="preserve">the </w:t>
      </w:r>
      <w:r w:rsidR="008D078A" w:rsidRPr="00AE38CA">
        <w:t>delivery of services for the four TGs</w:t>
      </w:r>
      <w:r w:rsidR="00AB0AE0" w:rsidRPr="00AE38CA">
        <w:t>.</w:t>
      </w:r>
      <w:r w:rsidR="00890774" w:rsidRPr="00AE38CA">
        <w:t xml:space="preserve"> </w:t>
      </w:r>
      <w:r w:rsidR="00761894" w:rsidRPr="00AE38CA">
        <w:t xml:space="preserve">Suggestions for </w:t>
      </w:r>
      <w:r w:rsidR="009B186A" w:rsidRPr="00AE38CA">
        <w:t>improv</w:t>
      </w:r>
      <w:r w:rsidR="00761894" w:rsidRPr="00AE38CA">
        <w:t xml:space="preserve">ement of </w:t>
      </w:r>
      <w:r w:rsidR="009B186A" w:rsidRPr="00AE38CA">
        <w:t>policies</w:t>
      </w:r>
      <w:r w:rsidR="00E515BE" w:rsidRPr="00AE38CA">
        <w:t xml:space="preserve"> and/or </w:t>
      </w:r>
      <w:r w:rsidR="009B186A" w:rsidRPr="00AE38CA">
        <w:t xml:space="preserve">provision </w:t>
      </w:r>
      <w:r w:rsidR="00E515BE" w:rsidRPr="00AE38CA">
        <w:t xml:space="preserve">of services </w:t>
      </w:r>
      <w:r w:rsidR="00204203" w:rsidRPr="00AE38CA">
        <w:t xml:space="preserve">are mentioned in tables 2 and 3. </w:t>
      </w:r>
    </w:p>
    <w:p w14:paraId="3E656ADB" w14:textId="77777777" w:rsidR="00716BE5" w:rsidRPr="00AE38CA" w:rsidRDefault="00716BE5" w:rsidP="00D46C84">
      <w:pPr>
        <w:pStyle w:val="Plattetekst"/>
      </w:pPr>
    </w:p>
    <w:p w14:paraId="57FC17FB" w14:textId="77777777" w:rsidR="00A21787" w:rsidRPr="00AE38CA" w:rsidRDefault="00A21787" w:rsidP="00A21787">
      <w:pPr>
        <w:pStyle w:val="Plattetekst"/>
        <w:rPr>
          <w:b/>
          <w:lang w:bidi="en-GB"/>
        </w:rPr>
      </w:pPr>
      <w:r w:rsidRPr="00AE38CA">
        <w:rPr>
          <w:b/>
          <w:lang w:bidi="en-GB"/>
        </w:rPr>
        <w:t>Table 5: Priorities for future use of EU Funds</w:t>
      </w:r>
      <w:r w:rsidRPr="00AE38CA">
        <w:rPr>
          <w:b/>
          <w:vertAlign w:val="superscript"/>
          <w:lang w:bidi="en-GB"/>
        </w:rPr>
        <w:footnoteReference w:id="19"/>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810"/>
        <w:gridCol w:w="1620"/>
        <w:gridCol w:w="1620"/>
        <w:gridCol w:w="1620"/>
        <w:gridCol w:w="1618"/>
      </w:tblGrid>
      <w:tr w:rsidR="00A21787" w:rsidRPr="00AE38CA" w14:paraId="4CAE183E" w14:textId="77777777" w:rsidTr="00A21787">
        <w:tc>
          <w:tcPr>
            <w:tcW w:w="1513" w:type="pct"/>
            <w:shd w:val="clear" w:color="auto" w:fill="00AEF0"/>
          </w:tcPr>
          <w:p w14:paraId="7D30D0AC" w14:textId="77777777" w:rsidR="00A21787" w:rsidRPr="00AE38CA" w:rsidRDefault="00A21787" w:rsidP="00AE5060">
            <w:pPr>
              <w:spacing w:after="0"/>
              <w:jc w:val="left"/>
              <w:rPr>
                <w:rFonts w:ascii="Verdana" w:hAnsi="Verdana"/>
                <w:b/>
                <w:color w:val="FFFFFF"/>
                <w:sz w:val="20"/>
              </w:rPr>
            </w:pPr>
          </w:p>
        </w:tc>
        <w:tc>
          <w:tcPr>
            <w:tcW w:w="872" w:type="pct"/>
            <w:shd w:val="clear" w:color="auto" w:fill="00AEF0"/>
          </w:tcPr>
          <w:p w14:paraId="54C2442E" w14:textId="77777777" w:rsidR="00A21787" w:rsidRPr="00AE38CA" w:rsidRDefault="00A21787" w:rsidP="00AE5060">
            <w:pPr>
              <w:spacing w:after="0"/>
              <w:jc w:val="left"/>
              <w:rPr>
                <w:rFonts w:ascii="Verdana" w:hAnsi="Verdana"/>
                <w:b/>
                <w:color w:val="FFFFFF"/>
                <w:sz w:val="20"/>
              </w:rPr>
            </w:pPr>
            <w:r w:rsidRPr="00AE38CA">
              <w:rPr>
                <w:rFonts w:ascii="Verdana" w:hAnsi="Verdana"/>
                <w:b/>
                <w:color w:val="FFFFFF"/>
                <w:sz w:val="20"/>
              </w:rPr>
              <w:t>Children living in precarious family situations</w:t>
            </w:r>
          </w:p>
        </w:tc>
        <w:tc>
          <w:tcPr>
            <w:tcW w:w="872" w:type="pct"/>
            <w:shd w:val="clear" w:color="auto" w:fill="00AEF0"/>
          </w:tcPr>
          <w:p w14:paraId="3BBE6F8E" w14:textId="77777777" w:rsidR="00A21787" w:rsidRPr="00AE38CA" w:rsidRDefault="00A21787" w:rsidP="00AE5060">
            <w:pPr>
              <w:spacing w:after="0"/>
              <w:jc w:val="left"/>
              <w:rPr>
                <w:rFonts w:ascii="Verdana" w:hAnsi="Verdana"/>
                <w:b/>
                <w:color w:val="FFFFFF"/>
                <w:sz w:val="20"/>
              </w:rPr>
            </w:pPr>
            <w:r w:rsidRPr="00AE38CA">
              <w:rPr>
                <w:rFonts w:ascii="Verdana" w:hAnsi="Verdana"/>
                <w:b/>
                <w:color w:val="FFFFFF"/>
                <w:sz w:val="20"/>
              </w:rPr>
              <w:t xml:space="preserve">Children of recent migrants and refugees </w:t>
            </w:r>
          </w:p>
        </w:tc>
        <w:tc>
          <w:tcPr>
            <w:tcW w:w="872" w:type="pct"/>
            <w:shd w:val="clear" w:color="auto" w:fill="00AEF0"/>
          </w:tcPr>
          <w:p w14:paraId="13CA6212" w14:textId="77777777" w:rsidR="00A21787" w:rsidRPr="00AE38CA" w:rsidRDefault="00A21787" w:rsidP="00AE5060">
            <w:pPr>
              <w:spacing w:after="0"/>
              <w:jc w:val="left"/>
              <w:rPr>
                <w:rFonts w:ascii="Verdana" w:hAnsi="Verdana"/>
                <w:b/>
                <w:color w:val="FFFFFF"/>
                <w:sz w:val="20"/>
              </w:rPr>
            </w:pPr>
            <w:r w:rsidRPr="00AE38CA">
              <w:rPr>
                <w:rFonts w:ascii="Verdana" w:hAnsi="Verdana"/>
                <w:b/>
                <w:color w:val="FFFFFF"/>
                <w:sz w:val="20"/>
              </w:rPr>
              <w:t>Children with disabilities and other special needs</w:t>
            </w:r>
          </w:p>
        </w:tc>
        <w:tc>
          <w:tcPr>
            <w:tcW w:w="872" w:type="pct"/>
            <w:shd w:val="clear" w:color="auto" w:fill="00AEF0"/>
          </w:tcPr>
          <w:p w14:paraId="56210AF4" w14:textId="77777777" w:rsidR="00A21787" w:rsidRPr="00AE38CA" w:rsidRDefault="00A21787" w:rsidP="00AE5060">
            <w:pPr>
              <w:spacing w:after="0"/>
              <w:jc w:val="left"/>
              <w:rPr>
                <w:rFonts w:ascii="Verdana" w:hAnsi="Verdana"/>
                <w:b/>
                <w:color w:val="FFFFFF"/>
                <w:sz w:val="20"/>
              </w:rPr>
            </w:pPr>
            <w:r w:rsidRPr="00AE38CA">
              <w:rPr>
                <w:rFonts w:ascii="Verdana" w:hAnsi="Verdana"/>
                <w:b/>
                <w:color w:val="FFFFFF"/>
                <w:sz w:val="20"/>
              </w:rPr>
              <w:t>Children residing in institutions</w:t>
            </w:r>
          </w:p>
        </w:tc>
      </w:tr>
      <w:tr w:rsidR="00A21787" w:rsidRPr="00AE38CA" w14:paraId="2EC4540A" w14:textId="77777777" w:rsidTr="00A21787">
        <w:tc>
          <w:tcPr>
            <w:tcW w:w="1513" w:type="pct"/>
            <w:shd w:val="clear" w:color="auto" w:fill="F2F2F2"/>
          </w:tcPr>
          <w:p w14:paraId="4DE4E80D" w14:textId="77777777" w:rsidR="00A21787" w:rsidRPr="00AE38CA" w:rsidRDefault="00A21787" w:rsidP="00AE5060">
            <w:pPr>
              <w:spacing w:after="0"/>
              <w:jc w:val="left"/>
              <w:rPr>
                <w:rFonts w:ascii="Verdana" w:hAnsi="Verdana"/>
                <w:b/>
                <w:sz w:val="20"/>
              </w:rPr>
            </w:pPr>
            <w:r w:rsidRPr="00AE38CA">
              <w:rPr>
                <w:rFonts w:ascii="Verdana" w:hAnsi="Verdana"/>
                <w:b/>
                <w:sz w:val="20"/>
              </w:rPr>
              <w:t>1. Adequate nutrition</w:t>
            </w:r>
          </w:p>
        </w:tc>
        <w:tc>
          <w:tcPr>
            <w:tcW w:w="872" w:type="pct"/>
            <w:shd w:val="clear" w:color="auto" w:fill="F2F2F2"/>
          </w:tcPr>
          <w:p w14:paraId="61A71948" w14:textId="77777777" w:rsidR="00A21787" w:rsidRPr="00AE38CA" w:rsidRDefault="00A21787" w:rsidP="00AE5060">
            <w:pPr>
              <w:spacing w:after="0"/>
              <w:jc w:val="left"/>
              <w:rPr>
                <w:rFonts w:ascii="Verdana" w:hAnsi="Verdana"/>
                <w:sz w:val="18"/>
                <w:szCs w:val="18"/>
              </w:rPr>
            </w:pPr>
          </w:p>
          <w:p w14:paraId="6281C1D6" w14:textId="77777777" w:rsidR="00A21787" w:rsidRPr="00AE38CA" w:rsidRDefault="00A21787" w:rsidP="00AE5060">
            <w:pPr>
              <w:spacing w:after="0"/>
              <w:jc w:val="left"/>
              <w:rPr>
                <w:rFonts w:ascii="Verdana" w:hAnsi="Verdana"/>
                <w:sz w:val="18"/>
                <w:szCs w:val="18"/>
              </w:rPr>
            </w:pPr>
          </w:p>
          <w:p w14:paraId="26F6110D"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48F8DF30"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0E970883"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532E356C" w14:textId="77777777" w:rsidR="00A21787" w:rsidRPr="00AE38CA" w:rsidRDefault="00A21787" w:rsidP="00AE5060">
            <w:pPr>
              <w:spacing w:after="0"/>
              <w:jc w:val="left"/>
              <w:rPr>
                <w:rFonts w:ascii="Verdana" w:hAnsi="Verdana"/>
                <w:sz w:val="18"/>
                <w:szCs w:val="18"/>
              </w:rPr>
            </w:pPr>
          </w:p>
        </w:tc>
      </w:tr>
      <w:tr w:rsidR="00A21787" w:rsidRPr="00AE38CA" w14:paraId="2BDBC57C" w14:textId="77777777" w:rsidTr="00A21787">
        <w:tc>
          <w:tcPr>
            <w:tcW w:w="1513" w:type="pct"/>
            <w:shd w:val="clear" w:color="auto" w:fill="F2F2F2"/>
          </w:tcPr>
          <w:p w14:paraId="3CD8DB60" w14:textId="77777777" w:rsidR="00A21787" w:rsidRPr="00AE38CA" w:rsidRDefault="00A21787" w:rsidP="00AE5060">
            <w:pPr>
              <w:spacing w:after="0"/>
              <w:jc w:val="left"/>
              <w:rPr>
                <w:rFonts w:ascii="Verdana" w:hAnsi="Verdana"/>
                <w:b/>
                <w:sz w:val="20"/>
              </w:rPr>
            </w:pPr>
            <w:r w:rsidRPr="00AE38CA">
              <w:rPr>
                <w:rFonts w:ascii="Verdana" w:hAnsi="Verdana"/>
                <w:b/>
                <w:sz w:val="20"/>
              </w:rPr>
              <w:t>2. Free education</w:t>
            </w:r>
          </w:p>
        </w:tc>
        <w:tc>
          <w:tcPr>
            <w:tcW w:w="872" w:type="pct"/>
            <w:shd w:val="clear" w:color="auto" w:fill="F2F2F2"/>
          </w:tcPr>
          <w:p w14:paraId="6664C03F" w14:textId="77777777" w:rsidR="00A21787" w:rsidRPr="00AE38CA" w:rsidRDefault="00A21787" w:rsidP="00AE5060">
            <w:pPr>
              <w:spacing w:after="0"/>
              <w:jc w:val="left"/>
              <w:rPr>
                <w:rFonts w:ascii="Verdana" w:hAnsi="Verdana"/>
                <w:sz w:val="18"/>
                <w:szCs w:val="18"/>
              </w:rPr>
            </w:pPr>
          </w:p>
          <w:p w14:paraId="423030F0" w14:textId="77777777" w:rsidR="00A21787" w:rsidRPr="00AE38CA" w:rsidRDefault="00A21787" w:rsidP="00AE5060">
            <w:pPr>
              <w:spacing w:after="0"/>
              <w:jc w:val="left"/>
              <w:rPr>
                <w:rFonts w:ascii="Verdana" w:hAnsi="Verdana"/>
                <w:sz w:val="18"/>
                <w:szCs w:val="18"/>
              </w:rPr>
            </w:pPr>
          </w:p>
          <w:p w14:paraId="4DD25149"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18853F27"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4AD488A5"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568AF4BC" w14:textId="77777777" w:rsidR="00A21787" w:rsidRPr="00AE38CA" w:rsidRDefault="00A21787" w:rsidP="00AE5060">
            <w:pPr>
              <w:spacing w:after="0"/>
              <w:jc w:val="left"/>
              <w:rPr>
                <w:rFonts w:ascii="Verdana" w:hAnsi="Verdana"/>
                <w:sz w:val="18"/>
                <w:szCs w:val="18"/>
              </w:rPr>
            </w:pPr>
          </w:p>
        </w:tc>
      </w:tr>
      <w:tr w:rsidR="00A21787" w:rsidRPr="00AE38CA" w14:paraId="7A5CF0A4" w14:textId="77777777" w:rsidTr="00A21787">
        <w:tc>
          <w:tcPr>
            <w:tcW w:w="1513" w:type="pct"/>
            <w:shd w:val="clear" w:color="auto" w:fill="F2F2F2"/>
          </w:tcPr>
          <w:p w14:paraId="2934032F" w14:textId="77777777" w:rsidR="00A21787" w:rsidRPr="00AE38CA" w:rsidRDefault="00A21787" w:rsidP="00AE5060">
            <w:pPr>
              <w:spacing w:after="0"/>
              <w:jc w:val="left"/>
              <w:rPr>
                <w:rFonts w:ascii="Verdana" w:hAnsi="Verdana"/>
                <w:b/>
                <w:sz w:val="20"/>
              </w:rPr>
            </w:pPr>
            <w:r w:rsidRPr="00AE38CA">
              <w:rPr>
                <w:rFonts w:ascii="Verdana" w:hAnsi="Verdana"/>
                <w:b/>
                <w:sz w:val="20"/>
              </w:rPr>
              <w:t>3. Free health care</w:t>
            </w:r>
          </w:p>
        </w:tc>
        <w:tc>
          <w:tcPr>
            <w:tcW w:w="872" w:type="pct"/>
            <w:shd w:val="clear" w:color="auto" w:fill="F2F2F2"/>
          </w:tcPr>
          <w:p w14:paraId="4B6AF372" w14:textId="77777777" w:rsidR="00A21787" w:rsidRPr="00AE38CA" w:rsidRDefault="00A21787" w:rsidP="00AE5060">
            <w:pPr>
              <w:spacing w:after="0"/>
              <w:jc w:val="left"/>
              <w:rPr>
                <w:rFonts w:ascii="Verdana" w:hAnsi="Verdana"/>
                <w:sz w:val="18"/>
                <w:szCs w:val="18"/>
              </w:rPr>
            </w:pPr>
          </w:p>
          <w:p w14:paraId="610A404B" w14:textId="77777777" w:rsidR="00A21787" w:rsidRPr="00AE38CA" w:rsidRDefault="00A21787" w:rsidP="00AE5060">
            <w:pPr>
              <w:spacing w:after="0"/>
              <w:jc w:val="left"/>
              <w:rPr>
                <w:rFonts w:ascii="Verdana" w:hAnsi="Verdana"/>
                <w:sz w:val="18"/>
                <w:szCs w:val="18"/>
              </w:rPr>
            </w:pPr>
          </w:p>
          <w:p w14:paraId="61515BF4"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09419043"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33480E0B"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6E4F7C35" w14:textId="77777777" w:rsidR="00A21787" w:rsidRPr="00AE38CA" w:rsidRDefault="00A21787" w:rsidP="00AE5060">
            <w:pPr>
              <w:spacing w:after="0"/>
              <w:jc w:val="left"/>
              <w:rPr>
                <w:rFonts w:ascii="Verdana" w:hAnsi="Verdana"/>
                <w:sz w:val="18"/>
                <w:szCs w:val="18"/>
              </w:rPr>
            </w:pPr>
          </w:p>
        </w:tc>
      </w:tr>
      <w:tr w:rsidR="00A21787" w:rsidRPr="00AE38CA" w14:paraId="561523BB" w14:textId="77777777" w:rsidTr="00A21787">
        <w:tc>
          <w:tcPr>
            <w:tcW w:w="1513" w:type="pct"/>
            <w:shd w:val="clear" w:color="auto" w:fill="F2F2F2"/>
          </w:tcPr>
          <w:p w14:paraId="5A88B94A" w14:textId="77777777" w:rsidR="00A21787" w:rsidRPr="00AE38CA" w:rsidRDefault="00A21787" w:rsidP="00AE5060">
            <w:pPr>
              <w:spacing w:after="0"/>
              <w:jc w:val="left"/>
              <w:rPr>
                <w:rFonts w:ascii="Verdana" w:hAnsi="Verdana"/>
                <w:b/>
                <w:sz w:val="20"/>
              </w:rPr>
            </w:pPr>
            <w:r w:rsidRPr="00AE38CA">
              <w:rPr>
                <w:rFonts w:ascii="Verdana" w:hAnsi="Verdana"/>
                <w:b/>
                <w:sz w:val="20"/>
              </w:rPr>
              <w:t>4. Decent housing</w:t>
            </w:r>
          </w:p>
        </w:tc>
        <w:tc>
          <w:tcPr>
            <w:tcW w:w="872" w:type="pct"/>
            <w:shd w:val="clear" w:color="auto" w:fill="F2F2F2"/>
          </w:tcPr>
          <w:p w14:paraId="4A393382" w14:textId="77777777" w:rsidR="00A21787" w:rsidRPr="00AE38CA" w:rsidRDefault="00A21787" w:rsidP="00AE5060">
            <w:pPr>
              <w:spacing w:after="0"/>
              <w:jc w:val="left"/>
              <w:rPr>
                <w:rFonts w:ascii="Verdana" w:hAnsi="Verdana"/>
                <w:sz w:val="18"/>
                <w:szCs w:val="18"/>
              </w:rPr>
            </w:pPr>
          </w:p>
          <w:p w14:paraId="0F79E416" w14:textId="77777777" w:rsidR="00A21787" w:rsidRPr="00AE38CA" w:rsidRDefault="00A21787" w:rsidP="00AE5060">
            <w:pPr>
              <w:spacing w:after="0"/>
              <w:jc w:val="left"/>
              <w:rPr>
                <w:rFonts w:ascii="Verdana" w:hAnsi="Verdana"/>
                <w:sz w:val="18"/>
                <w:szCs w:val="18"/>
              </w:rPr>
            </w:pPr>
          </w:p>
          <w:p w14:paraId="522FDC02"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11182587"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666455A0"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3235D40F" w14:textId="77777777" w:rsidR="00A21787" w:rsidRPr="00AE38CA" w:rsidRDefault="00A21787" w:rsidP="00AE5060">
            <w:pPr>
              <w:spacing w:after="0"/>
              <w:jc w:val="left"/>
              <w:rPr>
                <w:rFonts w:ascii="Verdana" w:hAnsi="Verdana"/>
                <w:sz w:val="18"/>
                <w:szCs w:val="18"/>
              </w:rPr>
            </w:pPr>
          </w:p>
        </w:tc>
      </w:tr>
      <w:tr w:rsidR="00A21787" w:rsidRPr="00AE38CA" w14:paraId="35F7D294" w14:textId="77777777" w:rsidTr="00A21787">
        <w:tc>
          <w:tcPr>
            <w:tcW w:w="1513" w:type="pct"/>
            <w:shd w:val="clear" w:color="auto" w:fill="F2F2F2"/>
          </w:tcPr>
          <w:p w14:paraId="0408A670" w14:textId="77777777" w:rsidR="00A21787" w:rsidRPr="00AE38CA" w:rsidRDefault="00A21787" w:rsidP="00AE5060">
            <w:pPr>
              <w:spacing w:after="0"/>
              <w:jc w:val="left"/>
              <w:rPr>
                <w:rFonts w:ascii="Verdana" w:hAnsi="Verdana"/>
                <w:b/>
                <w:sz w:val="20"/>
              </w:rPr>
            </w:pPr>
            <w:r w:rsidRPr="00AE38CA">
              <w:rPr>
                <w:rFonts w:ascii="Verdana" w:hAnsi="Verdana"/>
                <w:b/>
                <w:sz w:val="20"/>
              </w:rPr>
              <w:t>5. Free ECEC</w:t>
            </w:r>
          </w:p>
        </w:tc>
        <w:tc>
          <w:tcPr>
            <w:tcW w:w="872" w:type="pct"/>
            <w:shd w:val="clear" w:color="auto" w:fill="F2F2F2"/>
          </w:tcPr>
          <w:p w14:paraId="5AE5C092" w14:textId="77777777" w:rsidR="00A21787" w:rsidRPr="00AE38CA" w:rsidRDefault="00A21787" w:rsidP="00AE5060">
            <w:pPr>
              <w:spacing w:after="0"/>
              <w:jc w:val="left"/>
              <w:rPr>
                <w:rFonts w:ascii="Verdana" w:hAnsi="Verdana"/>
                <w:sz w:val="18"/>
                <w:szCs w:val="18"/>
              </w:rPr>
            </w:pPr>
          </w:p>
          <w:p w14:paraId="3B198F7C" w14:textId="77777777" w:rsidR="00A21787" w:rsidRPr="00AE38CA" w:rsidRDefault="00A21787" w:rsidP="00AE5060">
            <w:pPr>
              <w:spacing w:after="0"/>
              <w:jc w:val="left"/>
              <w:rPr>
                <w:rFonts w:ascii="Verdana" w:hAnsi="Verdana"/>
                <w:sz w:val="18"/>
                <w:szCs w:val="18"/>
              </w:rPr>
            </w:pPr>
          </w:p>
          <w:p w14:paraId="5EA257D8"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1510E478"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441991C1" w14:textId="77777777" w:rsidR="00A21787" w:rsidRPr="00AE38CA" w:rsidRDefault="00A21787" w:rsidP="00AE5060">
            <w:pPr>
              <w:spacing w:after="0"/>
              <w:jc w:val="left"/>
              <w:rPr>
                <w:rFonts w:ascii="Verdana" w:hAnsi="Verdana"/>
                <w:sz w:val="18"/>
                <w:szCs w:val="18"/>
              </w:rPr>
            </w:pPr>
          </w:p>
        </w:tc>
        <w:tc>
          <w:tcPr>
            <w:tcW w:w="872" w:type="pct"/>
            <w:shd w:val="clear" w:color="auto" w:fill="F2F2F2"/>
          </w:tcPr>
          <w:p w14:paraId="23F981DD" w14:textId="77777777" w:rsidR="00A21787" w:rsidRPr="00AE38CA" w:rsidRDefault="00A21787" w:rsidP="00AE5060">
            <w:pPr>
              <w:spacing w:after="0"/>
              <w:jc w:val="left"/>
              <w:rPr>
                <w:rFonts w:ascii="Verdana" w:hAnsi="Verdana"/>
                <w:sz w:val="18"/>
                <w:szCs w:val="18"/>
              </w:rPr>
            </w:pPr>
          </w:p>
        </w:tc>
      </w:tr>
      <w:tr w:rsidR="00A21787" w:rsidRPr="00AE38CA" w14:paraId="3BC2BE68" w14:textId="77777777" w:rsidTr="00A21787">
        <w:trPr>
          <w:trHeight w:val="1397"/>
        </w:trPr>
        <w:tc>
          <w:tcPr>
            <w:tcW w:w="1513" w:type="pct"/>
            <w:shd w:val="clear" w:color="auto" w:fill="F2F2F2"/>
          </w:tcPr>
          <w:p w14:paraId="7F5642B1" w14:textId="77777777" w:rsidR="00A21787" w:rsidRPr="00AE38CA" w:rsidRDefault="00A21787" w:rsidP="00AE5060">
            <w:pPr>
              <w:spacing w:after="0"/>
              <w:jc w:val="left"/>
              <w:rPr>
                <w:rFonts w:ascii="Verdana" w:hAnsi="Verdana"/>
                <w:b/>
                <w:sz w:val="20"/>
              </w:rPr>
            </w:pPr>
            <w:r w:rsidRPr="00AE38CA">
              <w:rPr>
                <w:rFonts w:ascii="Verdana" w:hAnsi="Verdana"/>
                <w:b/>
                <w:sz w:val="20"/>
              </w:rPr>
              <w:t>6. Strategic weaknesses in the way EU Funds are currently used for supporting the 4 TGs</w:t>
            </w:r>
          </w:p>
        </w:tc>
        <w:tc>
          <w:tcPr>
            <w:tcW w:w="3487" w:type="pct"/>
            <w:gridSpan w:val="4"/>
            <w:shd w:val="clear" w:color="auto" w:fill="F2F2F2"/>
          </w:tcPr>
          <w:p w14:paraId="2B4972B8" w14:textId="77777777" w:rsidR="00A21787" w:rsidRPr="00AE38CA" w:rsidRDefault="00A21787" w:rsidP="00AE5060">
            <w:pPr>
              <w:tabs>
                <w:tab w:val="left" w:pos="8520"/>
              </w:tabs>
              <w:rPr>
                <w:rFonts w:ascii="Verdana" w:hAnsi="Verdana"/>
                <w:sz w:val="18"/>
              </w:rPr>
            </w:pPr>
          </w:p>
        </w:tc>
      </w:tr>
      <w:tr w:rsidR="00A21787" w:rsidRPr="00AE38CA" w14:paraId="325BA353" w14:textId="77777777" w:rsidTr="00A21787">
        <w:trPr>
          <w:trHeight w:val="1408"/>
        </w:trPr>
        <w:tc>
          <w:tcPr>
            <w:tcW w:w="1513" w:type="pct"/>
            <w:shd w:val="clear" w:color="auto" w:fill="F2F2F2"/>
          </w:tcPr>
          <w:p w14:paraId="390F7326" w14:textId="77777777" w:rsidR="00A21787" w:rsidRPr="00AE38CA" w:rsidRDefault="00A21787" w:rsidP="00AE5060">
            <w:pPr>
              <w:spacing w:after="0"/>
              <w:jc w:val="left"/>
              <w:rPr>
                <w:rFonts w:ascii="Verdana" w:hAnsi="Verdana"/>
                <w:b/>
                <w:sz w:val="20"/>
              </w:rPr>
            </w:pPr>
            <w:r w:rsidRPr="00AE38CA">
              <w:rPr>
                <w:rFonts w:ascii="Verdana" w:hAnsi="Verdana"/>
                <w:b/>
                <w:sz w:val="20"/>
              </w:rPr>
              <w:t>7. Organisational priorities for improving the ways EU Funds are used for supporting the 4 TGs</w:t>
            </w:r>
          </w:p>
        </w:tc>
        <w:tc>
          <w:tcPr>
            <w:tcW w:w="3487" w:type="pct"/>
            <w:gridSpan w:val="4"/>
            <w:shd w:val="clear" w:color="auto" w:fill="F2F2F2"/>
          </w:tcPr>
          <w:p w14:paraId="20C14AB4" w14:textId="77777777" w:rsidR="00A21787" w:rsidRPr="00AE38CA" w:rsidRDefault="00A21787" w:rsidP="00AE5060">
            <w:pPr>
              <w:spacing w:after="200" w:line="276" w:lineRule="auto"/>
              <w:jc w:val="left"/>
              <w:rPr>
                <w:rFonts w:ascii="Verdana" w:hAnsi="Verdana"/>
                <w:sz w:val="18"/>
              </w:rPr>
            </w:pPr>
          </w:p>
        </w:tc>
      </w:tr>
    </w:tbl>
    <w:p w14:paraId="00956905" w14:textId="77777777" w:rsidR="00A21787" w:rsidRPr="00AE38CA" w:rsidRDefault="00A21787" w:rsidP="00A21787">
      <w:pPr>
        <w:spacing w:after="200" w:line="276" w:lineRule="auto"/>
        <w:jc w:val="left"/>
        <w:rPr>
          <w:sz w:val="22"/>
        </w:rPr>
      </w:pPr>
    </w:p>
    <w:p w14:paraId="41A974EA" w14:textId="77777777" w:rsidR="00B853BF" w:rsidRPr="00AE38CA" w:rsidRDefault="00B853BF" w:rsidP="00D46C84">
      <w:pPr>
        <w:pStyle w:val="Plattetekst"/>
      </w:pPr>
    </w:p>
    <w:p w14:paraId="1CF714EB" w14:textId="77777777" w:rsidR="004771A1" w:rsidRPr="00AE38CA" w:rsidRDefault="004771A1" w:rsidP="00D46C84">
      <w:pPr>
        <w:pStyle w:val="Plattetekst"/>
        <w:rPr>
          <w:b/>
        </w:rPr>
        <w:sectPr w:rsidR="004771A1" w:rsidRPr="00AE38CA" w:rsidSect="00AB1726">
          <w:headerReference w:type="default" r:id="rId46"/>
          <w:pgSz w:w="11906" w:h="16838"/>
          <w:pgMar w:top="1247" w:right="1304" w:bottom="1247" w:left="1304" w:header="142" w:footer="351" w:gutter="0"/>
          <w:cols w:space="720"/>
          <w:docGrid w:linePitch="360"/>
        </w:sectPr>
      </w:pPr>
    </w:p>
    <w:p w14:paraId="644C7790" w14:textId="77777777" w:rsidR="002A36D8" w:rsidRPr="00AE38CA" w:rsidRDefault="005E50D1" w:rsidP="004771A1">
      <w:pPr>
        <w:pStyle w:val="Kop1"/>
        <w:numPr>
          <w:ilvl w:val="0"/>
          <w:numId w:val="0"/>
        </w:numPr>
        <w:ind w:left="432"/>
      </w:pPr>
      <w:bookmarkStart w:id="19" w:name="_Toc532388678"/>
      <w:r w:rsidRPr="00AE38CA">
        <w:lastRenderedPageBreak/>
        <w:t>References</w:t>
      </w:r>
      <w:bookmarkEnd w:id="19"/>
      <w:r w:rsidR="002A36D8" w:rsidRPr="00AE38CA">
        <w:t xml:space="preserve"> </w:t>
      </w:r>
    </w:p>
    <w:p w14:paraId="6493BB35" w14:textId="77777777" w:rsidR="005E50D1" w:rsidRPr="00AE38CA" w:rsidRDefault="005E50D1" w:rsidP="005E50D1">
      <w:pPr>
        <w:pStyle w:val="Plattetekst"/>
      </w:pPr>
    </w:p>
    <w:p w14:paraId="32D61B59"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Aedes, </w:t>
      </w:r>
      <w:r w:rsidRPr="00AE38CA">
        <w:rPr>
          <w:rFonts w:ascii="Verdana" w:hAnsi="Verdana"/>
          <w:i/>
          <w:sz w:val="20"/>
          <w:lang w:val="nl-NL"/>
        </w:rPr>
        <w:t>Hoeveel huisuitzettingen zijn er per jaar?</w:t>
      </w:r>
      <w:r w:rsidRPr="00AE38CA">
        <w:rPr>
          <w:rFonts w:ascii="Verdana" w:hAnsi="Verdana"/>
          <w:sz w:val="20"/>
          <w:lang w:val="nl-NL"/>
        </w:rPr>
        <w:t xml:space="preserve">, Aedes, </w:t>
      </w:r>
      <w:proofErr w:type="spellStart"/>
      <w:r w:rsidRPr="00AE38CA">
        <w:rPr>
          <w:rFonts w:ascii="Verdana" w:hAnsi="Verdana"/>
          <w:sz w:val="20"/>
          <w:lang w:val="nl-NL"/>
        </w:rPr>
        <w:t>n.d</w:t>
      </w:r>
      <w:proofErr w:type="spellEnd"/>
      <w:r w:rsidRPr="00AE38CA">
        <w:rPr>
          <w:rFonts w:ascii="Verdana" w:hAnsi="Verdana"/>
          <w:sz w:val="20"/>
          <w:lang w:val="nl-NL"/>
        </w:rPr>
        <w:t xml:space="preserve">.,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Pr="00AE38CA">
        <w:rPr>
          <w:rFonts w:ascii="Verdana" w:hAnsi="Verdana"/>
          <w:sz w:val="20"/>
          <w:lang w:val="nl-NL"/>
        </w:rPr>
        <w:t xml:space="preserve">: </w:t>
      </w:r>
      <w:hyperlink r:id="rId47" w:history="1">
        <w:r w:rsidRPr="00AE38CA">
          <w:rPr>
            <w:rStyle w:val="Hyperlink"/>
            <w:rFonts w:ascii="Verdana" w:hAnsi="Verdana"/>
            <w:sz w:val="20"/>
            <w:lang w:val="nl-NL"/>
          </w:rPr>
          <w:t>https://tinyurl.com/y4zsgbkw</w:t>
        </w:r>
      </w:hyperlink>
      <w:r w:rsidRPr="00AE38CA">
        <w:rPr>
          <w:rFonts w:ascii="Verdana" w:hAnsi="Verdana"/>
          <w:sz w:val="20"/>
          <w:lang w:val="nl-NL"/>
        </w:rPr>
        <w:t xml:space="preserve"> </w:t>
      </w:r>
    </w:p>
    <w:p w14:paraId="100878C9" w14:textId="4941422A" w:rsidR="00BB02B0" w:rsidRPr="00AE38CA" w:rsidRDefault="00BB02B0" w:rsidP="001965B0">
      <w:pPr>
        <w:numPr>
          <w:ilvl w:val="0"/>
          <w:numId w:val="37"/>
        </w:numPr>
        <w:spacing w:after="0"/>
        <w:rPr>
          <w:rFonts w:ascii="Verdana" w:hAnsi="Verdana"/>
          <w:sz w:val="20"/>
          <w:lang w:val="en-US"/>
        </w:rPr>
      </w:pPr>
      <w:r w:rsidRPr="00AE38CA">
        <w:rPr>
          <w:rFonts w:ascii="Verdana" w:hAnsi="Verdana"/>
          <w:sz w:val="20"/>
          <w:lang w:val="en-US" w:bidi="en-GB"/>
        </w:rPr>
        <w:t xml:space="preserve">Applica &amp; </w:t>
      </w:r>
      <w:proofErr w:type="spellStart"/>
      <w:r w:rsidRPr="00AE38CA">
        <w:rPr>
          <w:rFonts w:ascii="Verdana" w:hAnsi="Verdana"/>
          <w:sz w:val="20"/>
          <w:lang w:val="en-US" w:bidi="en-GB"/>
        </w:rPr>
        <w:t>Liser</w:t>
      </w:r>
      <w:proofErr w:type="spellEnd"/>
      <w:r w:rsidR="00932B62" w:rsidRPr="00AE38CA">
        <w:rPr>
          <w:rFonts w:ascii="Verdana" w:hAnsi="Verdana"/>
          <w:sz w:val="20"/>
          <w:lang w:val="en-US" w:bidi="en-GB"/>
        </w:rPr>
        <w:t xml:space="preserve">, </w:t>
      </w:r>
      <w:r w:rsidRPr="00AE38CA">
        <w:rPr>
          <w:rFonts w:ascii="Verdana" w:hAnsi="Verdana"/>
          <w:i/>
          <w:sz w:val="20"/>
          <w:lang w:val="en-US" w:bidi="en-GB"/>
        </w:rPr>
        <w:t>Feasibility Study for a Child Guarantee [FSCG] Inception Report</w:t>
      </w:r>
      <w:r w:rsidRPr="00AE38CA">
        <w:rPr>
          <w:rFonts w:ascii="Verdana" w:hAnsi="Verdana"/>
          <w:sz w:val="20"/>
          <w:lang w:val="en-US" w:bidi="en-GB"/>
        </w:rPr>
        <w:t>, 2018</w:t>
      </w:r>
      <w:r w:rsidR="00104136" w:rsidRPr="00AE38CA">
        <w:rPr>
          <w:rFonts w:ascii="Verdana" w:hAnsi="Verdana"/>
          <w:sz w:val="20"/>
        </w:rPr>
        <w:t>, Brussels: European Commission, 2018.</w:t>
      </w:r>
    </w:p>
    <w:p w14:paraId="5AE40277" w14:textId="57B68490"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Asscher, L. </w:t>
      </w:r>
      <w:r w:rsidRPr="00AE38CA">
        <w:rPr>
          <w:rFonts w:ascii="Verdana" w:hAnsi="Verdana"/>
          <w:i/>
          <w:sz w:val="20"/>
          <w:lang w:val="nl-NL"/>
        </w:rPr>
        <w:t xml:space="preserve">Kamerbrief over beoordeling stand van zaken van sociaal medische indicatie </w:t>
      </w:r>
      <w:proofErr w:type="spellStart"/>
      <w:r w:rsidRPr="00AE38CA">
        <w:rPr>
          <w:rFonts w:ascii="Verdana" w:hAnsi="Verdana"/>
          <w:i/>
          <w:sz w:val="20"/>
          <w:lang w:val="nl-NL"/>
        </w:rPr>
        <w:t>smi</w:t>
      </w:r>
      <w:proofErr w:type="spellEnd"/>
      <w:r w:rsidRPr="00AE38CA">
        <w:rPr>
          <w:rFonts w:ascii="Verdana" w:hAnsi="Verdana"/>
          <w:i/>
          <w:sz w:val="20"/>
          <w:lang w:val="nl-NL"/>
        </w:rPr>
        <w:t xml:space="preserve"> in de kinderopvang</w:t>
      </w:r>
      <w:r w:rsidRPr="00AE38CA">
        <w:rPr>
          <w:rFonts w:ascii="Verdana" w:hAnsi="Verdana"/>
          <w:sz w:val="20"/>
          <w:lang w:val="nl-NL"/>
        </w:rPr>
        <w:t xml:space="preserve">, 2016,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Pr="00AE38CA">
        <w:rPr>
          <w:rFonts w:ascii="Verdana" w:hAnsi="Verdana"/>
          <w:sz w:val="20"/>
          <w:lang w:val="nl-NL"/>
        </w:rPr>
        <w:t xml:space="preserve">: </w:t>
      </w:r>
      <w:hyperlink r:id="rId48" w:history="1">
        <w:r w:rsidRPr="00AE38CA">
          <w:rPr>
            <w:rStyle w:val="Hyperlink"/>
            <w:rFonts w:ascii="Verdana" w:hAnsi="Verdana"/>
            <w:sz w:val="20"/>
            <w:lang w:val="nl-NL"/>
          </w:rPr>
          <w:t>https://tinyurl.com/yxgg9qux</w:t>
        </w:r>
      </w:hyperlink>
      <w:r w:rsidRPr="00AE38CA">
        <w:rPr>
          <w:rFonts w:ascii="Verdana" w:hAnsi="Verdana"/>
          <w:sz w:val="20"/>
          <w:lang w:val="nl-NL"/>
        </w:rPr>
        <w:t xml:space="preserve"> </w:t>
      </w:r>
    </w:p>
    <w:p w14:paraId="783F86F6"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Boer, J.M.A., Buurma-Rethans, E.J.M, Hendriksen, M., et al., </w:t>
      </w:r>
      <w:r w:rsidRPr="00AE38CA">
        <w:rPr>
          <w:rFonts w:ascii="Verdana" w:hAnsi="Verdana"/>
          <w:i/>
          <w:sz w:val="20"/>
        </w:rPr>
        <w:t>Health aspects of the Dutch diet Background report to ‘What is on our plate? Safe, healthy and sustainable diets in the Netherlands</w:t>
      </w:r>
      <w:r w:rsidRPr="00AE38CA">
        <w:rPr>
          <w:rFonts w:ascii="Verdana" w:hAnsi="Verdana"/>
          <w:sz w:val="20"/>
        </w:rPr>
        <w:t>, RIVM National Institute for Public Health and the Environment, Bilthoven, 2016.</w:t>
      </w:r>
    </w:p>
    <w:p w14:paraId="3829959C" w14:textId="38676F4F" w:rsidR="00664A2B"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Buitenhek Management &amp; Consult, </w:t>
      </w:r>
      <w:r w:rsidRPr="00AE38CA">
        <w:rPr>
          <w:rFonts w:ascii="Verdana" w:hAnsi="Verdana"/>
          <w:i/>
          <w:sz w:val="20"/>
          <w:lang w:val="nl-NL"/>
        </w:rPr>
        <w:t>Monitor bereik van voorschoolse voorzieningen in 2017. Onderzoek naar effecten bestuurlijke afspraken aanbod voor alle peuters SZW en VNG</w:t>
      </w:r>
      <w:r w:rsidRPr="00AE38CA">
        <w:rPr>
          <w:rFonts w:ascii="Verdana" w:hAnsi="Verdana"/>
          <w:sz w:val="20"/>
          <w:lang w:val="nl-NL"/>
        </w:rPr>
        <w:t>, Buitenhek Management &amp; Consult Utrecht, 2017.</w:t>
      </w:r>
    </w:p>
    <w:p w14:paraId="0375ADBB" w14:textId="77777777" w:rsidR="001F4139" w:rsidRPr="00AE38CA" w:rsidRDefault="001F4139" w:rsidP="001965B0">
      <w:pPr>
        <w:numPr>
          <w:ilvl w:val="0"/>
          <w:numId w:val="37"/>
        </w:numPr>
        <w:spacing w:after="0"/>
        <w:rPr>
          <w:rFonts w:ascii="Verdana" w:hAnsi="Verdana"/>
          <w:sz w:val="20"/>
        </w:rPr>
      </w:pPr>
      <w:r w:rsidRPr="00AE38CA">
        <w:rPr>
          <w:rFonts w:ascii="Verdana" w:hAnsi="Verdana"/>
          <w:sz w:val="20"/>
        </w:rPr>
        <w:t xml:space="preserve">BZK Ministry of the Interior and Kingdom Relations, </w:t>
      </w:r>
      <w:proofErr w:type="spellStart"/>
      <w:r w:rsidRPr="00AE38CA">
        <w:rPr>
          <w:rFonts w:ascii="Verdana" w:hAnsi="Verdana"/>
          <w:i/>
          <w:sz w:val="20"/>
        </w:rPr>
        <w:t>Staat</w:t>
      </w:r>
      <w:proofErr w:type="spellEnd"/>
      <w:r w:rsidRPr="00AE38CA">
        <w:rPr>
          <w:rFonts w:ascii="Verdana" w:hAnsi="Verdana"/>
          <w:i/>
          <w:sz w:val="20"/>
        </w:rPr>
        <w:t xml:space="preserve"> van de </w:t>
      </w:r>
      <w:proofErr w:type="spellStart"/>
      <w:r w:rsidRPr="00AE38CA">
        <w:rPr>
          <w:rFonts w:ascii="Verdana" w:hAnsi="Verdana"/>
          <w:i/>
          <w:sz w:val="20"/>
        </w:rPr>
        <w:t>woningmarkt</w:t>
      </w:r>
      <w:proofErr w:type="spellEnd"/>
      <w:r w:rsidRPr="00AE38CA">
        <w:rPr>
          <w:rFonts w:ascii="Verdana" w:hAnsi="Verdana"/>
          <w:i/>
          <w:sz w:val="20"/>
        </w:rPr>
        <w:t xml:space="preserve"> 2016</w:t>
      </w:r>
      <w:r w:rsidRPr="00AE38CA">
        <w:rPr>
          <w:rFonts w:ascii="Verdana" w:hAnsi="Verdana"/>
          <w:sz w:val="20"/>
        </w:rPr>
        <w:t xml:space="preserve">, Government of the Netherlands, The Hague, 2016, retrieved from: </w:t>
      </w:r>
      <w:hyperlink r:id="rId49" w:history="1">
        <w:r w:rsidRPr="00AE38CA">
          <w:rPr>
            <w:rStyle w:val="Hyperlink"/>
            <w:rFonts w:ascii="Verdana" w:hAnsi="Verdana"/>
            <w:sz w:val="20"/>
          </w:rPr>
          <w:t>https://tinyurl.com/y5m7qkuj</w:t>
        </w:r>
      </w:hyperlink>
      <w:r w:rsidRPr="00AE38CA">
        <w:rPr>
          <w:rFonts w:ascii="Verdana" w:hAnsi="Verdana"/>
          <w:sz w:val="20"/>
        </w:rPr>
        <w:t xml:space="preserve">  </w:t>
      </w:r>
    </w:p>
    <w:p w14:paraId="54968958" w14:textId="77777777" w:rsidR="001F4139" w:rsidRPr="00AE38CA" w:rsidRDefault="001F4139" w:rsidP="001965B0">
      <w:pPr>
        <w:numPr>
          <w:ilvl w:val="0"/>
          <w:numId w:val="37"/>
        </w:numPr>
        <w:spacing w:after="0"/>
        <w:rPr>
          <w:rFonts w:ascii="Verdana" w:hAnsi="Verdana"/>
          <w:sz w:val="20"/>
        </w:rPr>
      </w:pPr>
      <w:r w:rsidRPr="00AE38CA">
        <w:rPr>
          <w:rFonts w:ascii="Verdana" w:hAnsi="Verdana"/>
          <w:sz w:val="20"/>
        </w:rPr>
        <w:t xml:space="preserve">BZK Ministry of the Interior and Kingdom Relations, </w:t>
      </w:r>
      <w:r w:rsidRPr="00AE38CA">
        <w:rPr>
          <w:rFonts w:ascii="Verdana" w:hAnsi="Verdana"/>
          <w:i/>
          <w:sz w:val="20"/>
        </w:rPr>
        <w:t>Human rights in the Netherlands</w:t>
      </w:r>
      <w:r w:rsidRPr="00AE38CA">
        <w:rPr>
          <w:rFonts w:ascii="Verdana" w:hAnsi="Verdana"/>
          <w:sz w:val="20"/>
        </w:rPr>
        <w:t xml:space="preserve">, Government of the Netherlands, The Hague, n.d., retrieved from </w:t>
      </w:r>
      <w:hyperlink r:id="rId50" w:history="1">
        <w:r w:rsidRPr="00AE38CA">
          <w:rPr>
            <w:rStyle w:val="Hyperlink"/>
            <w:rFonts w:ascii="Verdana" w:hAnsi="Verdana"/>
            <w:sz w:val="20"/>
          </w:rPr>
          <w:t>https://www.government.nl/topics/human-rights/human-rights-in-the-netherlands</w:t>
        </w:r>
      </w:hyperlink>
      <w:r w:rsidRPr="00AE38CA">
        <w:rPr>
          <w:rFonts w:ascii="Verdana" w:hAnsi="Verdana"/>
          <w:sz w:val="20"/>
        </w:rPr>
        <w:t xml:space="preserve"> </w:t>
      </w:r>
    </w:p>
    <w:p w14:paraId="2E1FC777" w14:textId="77777777" w:rsidR="001F4139" w:rsidRPr="00AE38CA" w:rsidRDefault="001F4139" w:rsidP="001965B0">
      <w:pPr>
        <w:numPr>
          <w:ilvl w:val="0"/>
          <w:numId w:val="37"/>
        </w:numPr>
        <w:spacing w:after="0"/>
        <w:rPr>
          <w:rFonts w:ascii="Verdana" w:hAnsi="Verdana"/>
          <w:sz w:val="20"/>
        </w:rPr>
      </w:pPr>
      <w:r w:rsidRPr="00AE38CA">
        <w:rPr>
          <w:rFonts w:ascii="Verdana" w:hAnsi="Verdana"/>
          <w:sz w:val="20"/>
        </w:rPr>
        <w:t xml:space="preserve">BZK Ministry of the Interior and Kingdom Relations, </w:t>
      </w:r>
      <w:r w:rsidRPr="00AE38CA">
        <w:rPr>
          <w:rFonts w:ascii="Verdana" w:hAnsi="Verdana"/>
          <w:i/>
          <w:sz w:val="20"/>
        </w:rPr>
        <w:t>Rented Housing</w:t>
      </w:r>
      <w:r w:rsidRPr="00AE38CA">
        <w:rPr>
          <w:rFonts w:ascii="Verdana" w:hAnsi="Verdana"/>
          <w:sz w:val="20"/>
        </w:rPr>
        <w:t xml:space="preserve">, Ministry of the Interior and Kingdom Relations, The Hague, n.d., retrieved from </w:t>
      </w:r>
      <w:hyperlink r:id="rId51" w:history="1">
        <w:r w:rsidRPr="00AE38CA">
          <w:rPr>
            <w:rStyle w:val="Hyperlink"/>
            <w:rFonts w:ascii="Verdana" w:hAnsi="Verdana"/>
            <w:sz w:val="20"/>
          </w:rPr>
          <w:t>https://www.government.nl/topics/housing/rented-housing</w:t>
        </w:r>
      </w:hyperlink>
      <w:r w:rsidRPr="00AE38CA">
        <w:rPr>
          <w:rFonts w:ascii="Verdana" w:hAnsi="Verdana"/>
          <w:sz w:val="20"/>
        </w:rPr>
        <w:t xml:space="preserve"> </w:t>
      </w:r>
    </w:p>
    <w:p w14:paraId="7A9F5414" w14:textId="3E531003" w:rsidR="005F7D3B" w:rsidRPr="00AE38CA" w:rsidRDefault="005F7D3B" w:rsidP="001965B0">
      <w:pPr>
        <w:numPr>
          <w:ilvl w:val="0"/>
          <w:numId w:val="37"/>
        </w:numPr>
        <w:spacing w:after="0"/>
        <w:rPr>
          <w:rFonts w:ascii="Verdana" w:hAnsi="Verdana"/>
          <w:sz w:val="20"/>
          <w:lang w:val="nl-NL"/>
        </w:rPr>
      </w:pPr>
      <w:r w:rsidRPr="00AE38CA">
        <w:rPr>
          <w:rFonts w:ascii="Verdana" w:hAnsi="Verdana"/>
          <w:sz w:val="20"/>
          <w:lang w:val="nl-NL"/>
        </w:rPr>
        <w:t xml:space="preserve">CCV, </w:t>
      </w:r>
      <w:r w:rsidR="00DB6410" w:rsidRPr="00AE38CA">
        <w:rPr>
          <w:rFonts w:ascii="Verdana" w:hAnsi="Verdana"/>
          <w:i/>
          <w:sz w:val="20"/>
          <w:lang w:val="nl-NL"/>
        </w:rPr>
        <w:t>Multiprobleemgezi</w:t>
      </w:r>
      <w:r w:rsidR="00147882" w:rsidRPr="00AE38CA">
        <w:rPr>
          <w:rFonts w:ascii="Verdana" w:hAnsi="Verdana"/>
          <w:i/>
          <w:sz w:val="20"/>
          <w:lang w:val="nl-NL"/>
        </w:rPr>
        <w:t>n</w:t>
      </w:r>
      <w:r w:rsidR="00DB6410" w:rsidRPr="00AE38CA">
        <w:rPr>
          <w:rFonts w:ascii="Verdana" w:hAnsi="Verdana"/>
          <w:i/>
          <w:sz w:val="20"/>
          <w:lang w:val="nl-NL"/>
        </w:rPr>
        <w:t>nen met een Roma-achtergrond</w:t>
      </w:r>
      <w:r w:rsidR="00DB6410" w:rsidRPr="00AE38CA">
        <w:rPr>
          <w:rFonts w:ascii="Verdana" w:hAnsi="Verdana"/>
          <w:sz w:val="20"/>
          <w:lang w:val="nl-NL"/>
        </w:rPr>
        <w:t xml:space="preserve">, </w:t>
      </w:r>
      <w:proofErr w:type="spellStart"/>
      <w:r w:rsidR="00147882" w:rsidRPr="00AE38CA">
        <w:rPr>
          <w:rFonts w:ascii="Verdana" w:hAnsi="Verdana"/>
          <w:sz w:val="20"/>
          <w:lang w:val="nl-NL"/>
        </w:rPr>
        <w:t>retrieved</w:t>
      </w:r>
      <w:proofErr w:type="spellEnd"/>
      <w:r w:rsidR="00147882" w:rsidRPr="00AE38CA">
        <w:rPr>
          <w:rFonts w:ascii="Verdana" w:hAnsi="Verdana"/>
          <w:sz w:val="20"/>
          <w:lang w:val="nl-NL"/>
        </w:rPr>
        <w:t xml:space="preserve"> </w:t>
      </w:r>
      <w:proofErr w:type="spellStart"/>
      <w:r w:rsidR="00147882" w:rsidRPr="00AE38CA">
        <w:rPr>
          <w:rFonts w:ascii="Verdana" w:hAnsi="Verdana"/>
          <w:sz w:val="20"/>
          <w:lang w:val="nl-NL"/>
        </w:rPr>
        <w:t>from</w:t>
      </w:r>
      <w:proofErr w:type="spellEnd"/>
      <w:r w:rsidR="00147882" w:rsidRPr="00AE38CA">
        <w:rPr>
          <w:rFonts w:ascii="Verdana" w:hAnsi="Verdana"/>
          <w:sz w:val="20"/>
          <w:lang w:val="nl-NL"/>
        </w:rPr>
        <w:t>:</w:t>
      </w:r>
      <w:r w:rsidR="00DB6410" w:rsidRPr="00AE38CA">
        <w:rPr>
          <w:rFonts w:ascii="Verdana" w:hAnsi="Verdana"/>
          <w:sz w:val="20"/>
          <w:lang w:val="nl-NL"/>
        </w:rPr>
        <w:t xml:space="preserve"> </w:t>
      </w:r>
      <w:hyperlink r:id="rId52" w:history="1">
        <w:r w:rsidR="003C4D34" w:rsidRPr="00AE38CA">
          <w:rPr>
            <w:rStyle w:val="Hyperlink"/>
            <w:rFonts w:ascii="Verdana" w:hAnsi="Verdana"/>
            <w:sz w:val="20"/>
            <w:lang w:val="nl-NL"/>
          </w:rPr>
          <w:t>http://tinyurl.com/y3zje97b</w:t>
        </w:r>
      </w:hyperlink>
    </w:p>
    <w:p w14:paraId="2E5D6075"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Centraal Bureau voor Statistiek (CBS) [</w:t>
      </w:r>
      <w:proofErr w:type="spellStart"/>
      <w:r w:rsidRPr="00AE38CA">
        <w:rPr>
          <w:rFonts w:ascii="Verdana" w:hAnsi="Verdana"/>
          <w:sz w:val="20"/>
          <w:lang w:val="nl-NL"/>
        </w:rPr>
        <w:t>Statistics</w:t>
      </w:r>
      <w:proofErr w:type="spellEnd"/>
      <w:r w:rsidRPr="00AE38CA">
        <w:rPr>
          <w:rFonts w:ascii="Verdana" w:hAnsi="Verdana"/>
          <w:sz w:val="20"/>
          <w:lang w:val="nl-NL"/>
        </w:rPr>
        <w:t xml:space="preserve"> Netherlands]: </w:t>
      </w:r>
      <w:r w:rsidRPr="00AE38CA">
        <w:rPr>
          <w:rFonts w:ascii="Verdana" w:hAnsi="Verdana"/>
          <w:i/>
          <w:sz w:val="20"/>
          <w:lang w:val="nl-NL"/>
        </w:rPr>
        <w:t>Kosten van kinderen 2015</w:t>
      </w:r>
      <w:r w:rsidRPr="00AE38CA">
        <w:rPr>
          <w:rFonts w:ascii="Verdana" w:hAnsi="Verdana"/>
          <w:sz w:val="20"/>
          <w:lang w:val="nl-NL"/>
        </w:rPr>
        <w:t xml:space="preserve">, 2018,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Pr="00AE38CA">
        <w:rPr>
          <w:rFonts w:ascii="Verdana" w:hAnsi="Verdana"/>
          <w:sz w:val="20"/>
          <w:lang w:val="nl-NL"/>
        </w:rPr>
        <w:t xml:space="preserve">: </w:t>
      </w:r>
      <w:hyperlink r:id="rId53" w:history="1">
        <w:r w:rsidRPr="00AE38CA">
          <w:rPr>
            <w:rStyle w:val="Hyperlink"/>
            <w:rFonts w:ascii="Verdana" w:hAnsi="Verdana"/>
            <w:sz w:val="20"/>
            <w:lang w:val="nl-NL"/>
          </w:rPr>
          <w:t>https://tinyurl.com/yxzdobhe</w:t>
        </w:r>
      </w:hyperlink>
      <w:r w:rsidRPr="00AE38CA">
        <w:rPr>
          <w:rFonts w:ascii="Verdana" w:hAnsi="Verdana"/>
          <w:sz w:val="20"/>
          <w:lang w:val="nl-NL"/>
        </w:rPr>
        <w:t xml:space="preserve"> </w:t>
      </w:r>
    </w:p>
    <w:p w14:paraId="4F4A39BA" w14:textId="73C138E2"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Centraal Bureau voor Statistiek (CBS) [</w:t>
      </w:r>
      <w:proofErr w:type="spellStart"/>
      <w:r w:rsidRPr="00AE38CA">
        <w:rPr>
          <w:rFonts w:ascii="Verdana" w:hAnsi="Verdana"/>
          <w:sz w:val="20"/>
          <w:lang w:val="nl-NL"/>
        </w:rPr>
        <w:t>Statistics</w:t>
      </w:r>
      <w:proofErr w:type="spellEnd"/>
      <w:r w:rsidRPr="00AE38CA">
        <w:rPr>
          <w:rFonts w:ascii="Verdana" w:hAnsi="Verdana"/>
          <w:sz w:val="20"/>
          <w:lang w:val="nl-NL"/>
        </w:rPr>
        <w:t xml:space="preserve"> Netherlands]: </w:t>
      </w:r>
      <w:r w:rsidRPr="00AE38CA">
        <w:rPr>
          <w:rFonts w:ascii="Verdana" w:hAnsi="Verdana"/>
          <w:i/>
          <w:sz w:val="20"/>
          <w:lang w:val="nl-NL"/>
        </w:rPr>
        <w:t>Armoede en Sociale Uitsluiting 2018</w:t>
      </w:r>
      <w:r w:rsidRPr="00AE38CA">
        <w:rPr>
          <w:rFonts w:ascii="Verdana" w:hAnsi="Verdana"/>
          <w:sz w:val="20"/>
          <w:lang w:val="nl-NL"/>
        </w:rPr>
        <w:t>, The Hague, 2018.</w:t>
      </w:r>
    </w:p>
    <w:p w14:paraId="56B01DCD" w14:textId="0C381D99" w:rsidR="00DA1680" w:rsidRPr="00AE38CA" w:rsidRDefault="0021771B" w:rsidP="001965B0">
      <w:pPr>
        <w:numPr>
          <w:ilvl w:val="0"/>
          <w:numId w:val="37"/>
        </w:numPr>
        <w:spacing w:after="0"/>
        <w:rPr>
          <w:rFonts w:ascii="Verdana" w:hAnsi="Verdana"/>
          <w:sz w:val="20"/>
          <w:lang w:val="nl-NL"/>
        </w:rPr>
      </w:pPr>
      <w:r w:rsidRPr="00AE38CA">
        <w:rPr>
          <w:rFonts w:ascii="Verdana" w:hAnsi="Verdana"/>
          <w:sz w:val="20"/>
          <w:lang w:val="nl-NL"/>
        </w:rPr>
        <w:t>Centraal Bureau voor Statistiek (CBS) [</w:t>
      </w:r>
      <w:proofErr w:type="spellStart"/>
      <w:r w:rsidRPr="00AE38CA">
        <w:rPr>
          <w:rFonts w:ascii="Verdana" w:hAnsi="Verdana"/>
          <w:sz w:val="20"/>
          <w:lang w:val="nl-NL"/>
        </w:rPr>
        <w:t>Statistics</w:t>
      </w:r>
      <w:proofErr w:type="spellEnd"/>
      <w:r w:rsidRPr="00AE38CA">
        <w:rPr>
          <w:rFonts w:ascii="Verdana" w:hAnsi="Verdana"/>
          <w:sz w:val="20"/>
          <w:lang w:val="nl-NL"/>
        </w:rPr>
        <w:t xml:space="preserve"> Netherlands]: Landelijke Jeugdmonitor</w:t>
      </w:r>
      <w:r w:rsidR="00213202" w:rsidRPr="00AE38CA">
        <w:rPr>
          <w:rFonts w:ascii="Verdana" w:hAnsi="Verdana"/>
          <w:sz w:val="20"/>
          <w:lang w:val="nl-NL"/>
        </w:rPr>
        <w:t xml:space="preserve"> 2018</w:t>
      </w:r>
      <w:r w:rsidRPr="00AE38CA">
        <w:rPr>
          <w:rFonts w:ascii="Verdana" w:hAnsi="Verdana"/>
          <w:sz w:val="20"/>
          <w:lang w:val="nl-NL"/>
        </w:rPr>
        <w:t>, The Hague, 2018</w:t>
      </w:r>
      <w:r w:rsidR="002C61C1" w:rsidRPr="00AE38CA">
        <w:rPr>
          <w:rFonts w:ascii="Verdana" w:hAnsi="Verdana"/>
          <w:sz w:val="20"/>
          <w:lang w:val="nl-NL"/>
        </w:rPr>
        <w:t xml:space="preserve">, </w:t>
      </w:r>
      <w:proofErr w:type="spellStart"/>
      <w:r w:rsidR="002C61C1" w:rsidRPr="00AE38CA">
        <w:rPr>
          <w:rFonts w:ascii="Verdana" w:hAnsi="Verdana"/>
          <w:sz w:val="20"/>
          <w:lang w:val="nl-NL"/>
        </w:rPr>
        <w:t>retrieved</w:t>
      </w:r>
      <w:proofErr w:type="spellEnd"/>
      <w:r w:rsidR="002C61C1" w:rsidRPr="00AE38CA">
        <w:rPr>
          <w:rFonts w:ascii="Verdana" w:hAnsi="Verdana"/>
          <w:sz w:val="20"/>
          <w:lang w:val="nl-NL"/>
        </w:rPr>
        <w:t xml:space="preserve"> </w:t>
      </w:r>
      <w:proofErr w:type="spellStart"/>
      <w:r w:rsidR="002C61C1" w:rsidRPr="00AE38CA">
        <w:rPr>
          <w:rFonts w:ascii="Verdana" w:hAnsi="Verdana"/>
          <w:sz w:val="20"/>
          <w:lang w:val="nl-NL"/>
        </w:rPr>
        <w:t>from</w:t>
      </w:r>
      <w:proofErr w:type="spellEnd"/>
      <w:r w:rsidR="002C61C1" w:rsidRPr="00AE38CA">
        <w:rPr>
          <w:rFonts w:ascii="Verdana" w:hAnsi="Verdana"/>
          <w:sz w:val="20"/>
          <w:lang w:val="nl-NL"/>
        </w:rPr>
        <w:t xml:space="preserve">: </w:t>
      </w:r>
      <w:hyperlink r:id="rId54" w:history="1">
        <w:r w:rsidR="002C61C1" w:rsidRPr="00AE38CA">
          <w:rPr>
            <w:rStyle w:val="Hyperlink"/>
            <w:rFonts w:ascii="Verdana" w:hAnsi="Verdana"/>
            <w:sz w:val="20"/>
            <w:lang w:val="nl-NL"/>
          </w:rPr>
          <w:t>http://tinyurl.com/y5nfpyyb</w:t>
        </w:r>
      </w:hyperlink>
      <w:r w:rsidR="002C61C1" w:rsidRPr="00AE38CA">
        <w:rPr>
          <w:rFonts w:ascii="Verdana" w:hAnsi="Verdana"/>
          <w:sz w:val="20"/>
          <w:lang w:val="nl-NL"/>
        </w:rPr>
        <w:t xml:space="preserve"> </w:t>
      </w:r>
    </w:p>
    <w:p w14:paraId="6D956A83" w14:textId="77777777" w:rsidR="00E87698"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Centraal Bureau voor Statistiek (CBS)[</w:t>
      </w:r>
      <w:proofErr w:type="spellStart"/>
      <w:r w:rsidRPr="00AE38CA">
        <w:rPr>
          <w:rFonts w:ascii="Verdana" w:hAnsi="Verdana"/>
          <w:sz w:val="20"/>
          <w:lang w:val="nl-NL"/>
        </w:rPr>
        <w:t>Statistics</w:t>
      </w:r>
      <w:proofErr w:type="spellEnd"/>
      <w:r w:rsidRPr="00AE38CA">
        <w:rPr>
          <w:rFonts w:ascii="Verdana" w:hAnsi="Verdana"/>
          <w:sz w:val="20"/>
          <w:lang w:val="nl-NL"/>
        </w:rPr>
        <w:t xml:space="preserve"> Netherlands]: </w:t>
      </w:r>
      <w:r w:rsidRPr="00AE38CA">
        <w:rPr>
          <w:rFonts w:ascii="Verdana" w:hAnsi="Verdana"/>
          <w:i/>
          <w:sz w:val="20"/>
          <w:lang w:val="nl-NL"/>
        </w:rPr>
        <w:t>Meer huishoudens met risico op armoede in 2017</w:t>
      </w:r>
      <w:r w:rsidRPr="00AE38CA">
        <w:rPr>
          <w:rFonts w:ascii="Verdana" w:hAnsi="Verdana"/>
          <w:sz w:val="20"/>
          <w:lang w:val="nl-NL"/>
        </w:rPr>
        <w:t xml:space="preserve">, 2017,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Pr="00AE38CA">
        <w:rPr>
          <w:rFonts w:ascii="Verdana" w:hAnsi="Verdana"/>
          <w:sz w:val="20"/>
          <w:lang w:val="nl-NL"/>
        </w:rPr>
        <w:t xml:space="preserve">: </w:t>
      </w:r>
      <w:hyperlink r:id="rId55" w:history="1">
        <w:r w:rsidRPr="00AE38CA">
          <w:rPr>
            <w:rStyle w:val="Hyperlink"/>
            <w:rFonts w:ascii="Verdana" w:hAnsi="Verdana"/>
            <w:sz w:val="20"/>
            <w:lang w:val="nl-NL"/>
          </w:rPr>
          <w:t>https://tinyurl.com/y4q4auov</w:t>
        </w:r>
      </w:hyperlink>
      <w:r w:rsidRPr="00AE38CA">
        <w:rPr>
          <w:rFonts w:ascii="Verdana" w:hAnsi="Verdana"/>
          <w:sz w:val="20"/>
          <w:lang w:val="nl-NL"/>
        </w:rPr>
        <w:t xml:space="preserve"> </w:t>
      </w:r>
    </w:p>
    <w:p w14:paraId="29125FC6" w14:textId="01530A79" w:rsidR="009F4E2D" w:rsidRPr="00DC6835" w:rsidRDefault="009F4E2D" w:rsidP="001965B0">
      <w:pPr>
        <w:numPr>
          <w:ilvl w:val="0"/>
          <w:numId w:val="37"/>
        </w:numPr>
        <w:spacing w:after="0"/>
        <w:rPr>
          <w:rStyle w:val="Hyperlink"/>
          <w:rFonts w:ascii="Verdana" w:hAnsi="Verdana"/>
          <w:sz w:val="20"/>
          <w:lang w:val="nl-NL"/>
        </w:rPr>
      </w:pPr>
      <w:proofErr w:type="spellStart"/>
      <w:r w:rsidRPr="00AE38CA">
        <w:rPr>
          <w:rFonts w:ascii="Verdana" w:hAnsi="Verdana"/>
          <w:bCs/>
          <w:sz w:val="20"/>
          <w:lang w:val="nl-NL"/>
        </w:rPr>
        <w:t>Defence</w:t>
      </w:r>
      <w:proofErr w:type="spellEnd"/>
      <w:r w:rsidRPr="00AE38CA">
        <w:rPr>
          <w:rFonts w:ascii="Verdana" w:hAnsi="Verdana"/>
          <w:bCs/>
          <w:sz w:val="20"/>
          <w:lang w:val="nl-NL"/>
        </w:rPr>
        <w:t xml:space="preserve"> </w:t>
      </w:r>
      <w:proofErr w:type="spellStart"/>
      <w:r w:rsidRPr="00AE38CA">
        <w:rPr>
          <w:rFonts w:ascii="Verdana" w:hAnsi="Verdana"/>
          <w:bCs/>
          <w:sz w:val="20"/>
          <w:lang w:val="nl-NL"/>
        </w:rPr>
        <w:t>for</w:t>
      </w:r>
      <w:proofErr w:type="spellEnd"/>
      <w:r w:rsidRPr="00AE38CA">
        <w:rPr>
          <w:rFonts w:ascii="Verdana" w:hAnsi="Verdana"/>
          <w:bCs/>
          <w:sz w:val="20"/>
          <w:lang w:val="nl-NL"/>
        </w:rPr>
        <w:t xml:space="preserve"> </w:t>
      </w:r>
      <w:proofErr w:type="spellStart"/>
      <w:r w:rsidRPr="00AE38CA">
        <w:rPr>
          <w:rFonts w:ascii="Verdana" w:hAnsi="Verdana"/>
          <w:bCs/>
          <w:sz w:val="20"/>
          <w:lang w:val="nl-NL"/>
        </w:rPr>
        <w:t>Children</w:t>
      </w:r>
      <w:proofErr w:type="spellEnd"/>
      <w:r w:rsidRPr="00AE38CA">
        <w:rPr>
          <w:rFonts w:ascii="Verdana" w:hAnsi="Verdana"/>
          <w:bCs/>
          <w:sz w:val="20"/>
          <w:lang w:val="nl-NL"/>
        </w:rPr>
        <w:t xml:space="preserve">, </w:t>
      </w:r>
      <w:r w:rsidRPr="00AE38CA">
        <w:rPr>
          <w:rFonts w:ascii="Verdana" w:hAnsi="Verdana"/>
          <w:bCs/>
          <w:i/>
          <w:sz w:val="20"/>
          <w:lang w:val="nl-NL"/>
        </w:rPr>
        <w:t>Duurzame oplossingen voor Roma kinderen die slachtoffer zijn van criminele uitbuiting</w:t>
      </w:r>
      <w:r w:rsidRPr="00AE38CA">
        <w:rPr>
          <w:rFonts w:ascii="Verdana" w:hAnsi="Verdana"/>
          <w:bCs/>
          <w:sz w:val="20"/>
          <w:lang w:val="nl-NL"/>
        </w:rPr>
        <w:t xml:space="preserve">, </w:t>
      </w:r>
      <w:proofErr w:type="spellStart"/>
      <w:r w:rsidRPr="00AE38CA">
        <w:rPr>
          <w:rFonts w:ascii="Verdana" w:hAnsi="Verdana"/>
          <w:bCs/>
          <w:sz w:val="20"/>
          <w:lang w:val="nl-NL"/>
        </w:rPr>
        <w:t>Defence</w:t>
      </w:r>
      <w:proofErr w:type="spellEnd"/>
      <w:r w:rsidRPr="00AE38CA">
        <w:rPr>
          <w:rFonts w:ascii="Verdana" w:hAnsi="Verdana"/>
          <w:bCs/>
          <w:sz w:val="20"/>
          <w:lang w:val="nl-NL"/>
        </w:rPr>
        <w:t xml:space="preserve"> </w:t>
      </w:r>
      <w:proofErr w:type="spellStart"/>
      <w:r w:rsidRPr="00AE38CA">
        <w:rPr>
          <w:rFonts w:ascii="Verdana" w:hAnsi="Verdana"/>
          <w:bCs/>
          <w:sz w:val="20"/>
          <w:lang w:val="nl-NL"/>
        </w:rPr>
        <w:t>for</w:t>
      </w:r>
      <w:proofErr w:type="spellEnd"/>
      <w:r w:rsidRPr="00AE38CA">
        <w:rPr>
          <w:rFonts w:ascii="Verdana" w:hAnsi="Verdana"/>
          <w:bCs/>
          <w:sz w:val="20"/>
          <w:lang w:val="nl-NL"/>
        </w:rPr>
        <w:t xml:space="preserve"> </w:t>
      </w:r>
      <w:proofErr w:type="spellStart"/>
      <w:r w:rsidRPr="00AE38CA">
        <w:rPr>
          <w:rFonts w:ascii="Verdana" w:hAnsi="Verdana"/>
          <w:bCs/>
          <w:sz w:val="20"/>
          <w:lang w:val="nl-NL"/>
        </w:rPr>
        <w:t>Children</w:t>
      </w:r>
      <w:proofErr w:type="spellEnd"/>
      <w:r w:rsidRPr="00AE38CA">
        <w:rPr>
          <w:rFonts w:ascii="Verdana" w:hAnsi="Verdana"/>
          <w:bCs/>
          <w:sz w:val="20"/>
          <w:lang w:val="nl-NL"/>
        </w:rPr>
        <w:t>, Den Haag, 2017.</w:t>
      </w:r>
      <w:r w:rsidR="00424FC3" w:rsidRPr="00AE38CA">
        <w:rPr>
          <w:rFonts w:ascii="Verdana" w:hAnsi="Verdana"/>
          <w:bCs/>
          <w:sz w:val="20"/>
          <w:u w:val="single"/>
          <w:lang w:val="nl-NL"/>
        </w:rPr>
        <w:t xml:space="preserve"> </w:t>
      </w:r>
      <w:r w:rsidR="00424FC3" w:rsidRPr="00AE38CA">
        <w:rPr>
          <w:rStyle w:val="Hyperlink"/>
          <w:rFonts w:ascii="Verdana" w:hAnsi="Verdana"/>
          <w:sz w:val="20"/>
          <w:lang w:val="nl-NL"/>
        </w:rPr>
        <w:t>https://defenceforchildren.nl/media/3085/20181107_dc_rapport-safe-havens_eng_web.pdf</w:t>
      </w:r>
    </w:p>
    <w:p w14:paraId="18240A8B"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De Lange, A., </w:t>
      </w:r>
      <w:proofErr w:type="spellStart"/>
      <w:r w:rsidRPr="00AE38CA">
        <w:rPr>
          <w:rFonts w:ascii="Verdana" w:hAnsi="Verdana"/>
          <w:sz w:val="20"/>
          <w:lang w:val="nl-NL"/>
        </w:rPr>
        <w:t>Lempens</w:t>
      </w:r>
      <w:proofErr w:type="spellEnd"/>
      <w:r w:rsidRPr="00AE38CA">
        <w:rPr>
          <w:rFonts w:ascii="Verdana" w:hAnsi="Verdana"/>
          <w:sz w:val="20"/>
          <w:lang w:val="nl-NL"/>
        </w:rPr>
        <w:t xml:space="preserve">, A., </w:t>
      </w:r>
      <w:proofErr w:type="spellStart"/>
      <w:r w:rsidRPr="00AE38CA">
        <w:rPr>
          <w:rFonts w:ascii="Verdana" w:hAnsi="Verdana"/>
          <w:sz w:val="20"/>
          <w:lang w:val="nl-NL"/>
        </w:rPr>
        <w:t>Munnecom</w:t>
      </w:r>
      <w:proofErr w:type="spellEnd"/>
      <w:r w:rsidRPr="00AE38CA">
        <w:rPr>
          <w:rFonts w:ascii="Verdana" w:hAnsi="Verdana"/>
          <w:sz w:val="20"/>
          <w:lang w:val="nl-NL"/>
        </w:rPr>
        <w:t>, M</w:t>
      </w:r>
      <w:r w:rsidRPr="00AE38CA">
        <w:rPr>
          <w:rFonts w:ascii="Verdana" w:hAnsi="Verdana"/>
          <w:i/>
          <w:sz w:val="20"/>
          <w:lang w:val="nl-NL"/>
        </w:rPr>
        <w:t>., Onderzoek naar de uitvoering van de SMI-regeling in de G4</w:t>
      </w:r>
      <w:r w:rsidRPr="00AE38CA">
        <w:rPr>
          <w:rFonts w:ascii="Verdana" w:hAnsi="Verdana"/>
          <w:sz w:val="20"/>
          <w:lang w:val="nl-NL"/>
        </w:rPr>
        <w:t>, I&amp;O Research, Amsterdam, 2016.</w:t>
      </w:r>
    </w:p>
    <w:p w14:paraId="39B54027"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lang w:val="nl-NL"/>
        </w:rPr>
        <w:t xml:space="preserve">De Weerd, M., Schreijenberg, A., Kriek. F., </w:t>
      </w:r>
      <w:r w:rsidRPr="00AE38CA">
        <w:rPr>
          <w:rFonts w:ascii="Verdana" w:hAnsi="Verdana"/>
          <w:i/>
          <w:sz w:val="20"/>
          <w:lang w:val="nl-NL"/>
        </w:rPr>
        <w:t xml:space="preserve">Kinderopvang en sociaal medische indicatie. </w:t>
      </w:r>
      <w:proofErr w:type="spellStart"/>
      <w:r w:rsidRPr="00AE38CA">
        <w:rPr>
          <w:rFonts w:ascii="Verdana" w:hAnsi="Verdana"/>
          <w:i/>
          <w:sz w:val="20"/>
        </w:rPr>
        <w:t>Een</w:t>
      </w:r>
      <w:proofErr w:type="spellEnd"/>
      <w:r w:rsidRPr="00AE38CA">
        <w:rPr>
          <w:rFonts w:ascii="Verdana" w:hAnsi="Verdana"/>
          <w:i/>
          <w:sz w:val="20"/>
        </w:rPr>
        <w:t xml:space="preserve"> </w:t>
      </w:r>
      <w:proofErr w:type="spellStart"/>
      <w:r w:rsidRPr="00AE38CA">
        <w:rPr>
          <w:rFonts w:ascii="Verdana" w:hAnsi="Verdana"/>
          <w:i/>
          <w:sz w:val="20"/>
        </w:rPr>
        <w:t>scenariostudie</w:t>
      </w:r>
      <w:proofErr w:type="spellEnd"/>
      <w:r w:rsidRPr="00AE38CA">
        <w:rPr>
          <w:rFonts w:ascii="Verdana" w:hAnsi="Verdana"/>
          <w:sz w:val="20"/>
        </w:rPr>
        <w:t>. Regioplan Beleidsonderzoek, Amsterdam, 2014.</w:t>
      </w:r>
    </w:p>
    <w:p w14:paraId="796AE0D8"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DNB De Nederlandsche Bank N.V., </w:t>
      </w:r>
      <w:r w:rsidRPr="00AE38CA">
        <w:rPr>
          <w:rFonts w:ascii="Verdana" w:hAnsi="Verdana"/>
          <w:i/>
          <w:sz w:val="20"/>
          <w:lang w:val="nl-NL"/>
        </w:rPr>
        <w:t>Overzicht Financiële stabiliteit 2017-1</w:t>
      </w:r>
      <w:r w:rsidRPr="00AE38CA">
        <w:rPr>
          <w:rFonts w:ascii="Verdana" w:hAnsi="Verdana"/>
          <w:sz w:val="20"/>
          <w:lang w:val="nl-NL"/>
        </w:rPr>
        <w:t>, DNB, Amsterdam, 2017.</w:t>
      </w:r>
    </w:p>
    <w:p w14:paraId="1440C604"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rPr>
        <w:t xml:space="preserve">Dutch Council for Refugees, </w:t>
      </w:r>
      <w:r w:rsidRPr="00AE38CA">
        <w:rPr>
          <w:rFonts w:ascii="Verdana" w:hAnsi="Verdana"/>
          <w:i/>
          <w:sz w:val="20"/>
        </w:rPr>
        <w:t xml:space="preserve">Bescherming in Nederland. </w:t>
      </w:r>
      <w:r w:rsidRPr="00AE38CA">
        <w:rPr>
          <w:rFonts w:ascii="Verdana" w:hAnsi="Verdana"/>
          <w:i/>
          <w:sz w:val="20"/>
          <w:lang w:val="nl-NL"/>
        </w:rPr>
        <w:t>Feiten en cijfers,</w:t>
      </w:r>
      <w:r w:rsidRPr="00AE38CA">
        <w:rPr>
          <w:rFonts w:ascii="Verdana" w:hAnsi="Verdana"/>
          <w:sz w:val="20"/>
          <w:lang w:val="nl-NL"/>
        </w:rPr>
        <w:t xml:space="preserve"> Vluchtelingenwerk Nederland .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Pr="00AE38CA">
        <w:rPr>
          <w:rFonts w:ascii="Verdana" w:hAnsi="Verdana"/>
          <w:sz w:val="20"/>
          <w:lang w:val="nl-NL"/>
        </w:rPr>
        <w:t xml:space="preserve">: </w:t>
      </w:r>
      <w:hyperlink r:id="rId56" w:history="1">
        <w:r w:rsidRPr="00AE38CA">
          <w:rPr>
            <w:rStyle w:val="Hyperlink"/>
            <w:rFonts w:ascii="Verdana" w:hAnsi="Verdana"/>
            <w:sz w:val="20"/>
            <w:lang w:val="nl-NL"/>
          </w:rPr>
          <w:t>https://www.vluchtelingenwerk.nl/feiten-cijfers/cijfers/bescherming-nederland</w:t>
        </w:r>
      </w:hyperlink>
      <w:r w:rsidRPr="00AE38CA">
        <w:rPr>
          <w:rFonts w:ascii="Verdana" w:hAnsi="Verdana"/>
          <w:sz w:val="20"/>
          <w:lang w:val="nl-NL"/>
        </w:rPr>
        <w:t xml:space="preserve"> </w:t>
      </w:r>
    </w:p>
    <w:p w14:paraId="13F9518F" w14:textId="6923EAC9" w:rsidR="00D91D3F" w:rsidRDefault="00D91D3F" w:rsidP="001965B0">
      <w:pPr>
        <w:numPr>
          <w:ilvl w:val="0"/>
          <w:numId w:val="37"/>
        </w:numPr>
        <w:spacing w:after="0"/>
        <w:rPr>
          <w:rFonts w:ascii="Verdana" w:hAnsi="Verdana"/>
          <w:sz w:val="20"/>
        </w:rPr>
      </w:pPr>
      <w:r w:rsidRPr="00AE38CA">
        <w:rPr>
          <w:rFonts w:ascii="Verdana" w:hAnsi="Verdana"/>
          <w:sz w:val="20"/>
        </w:rPr>
        <w:t xml:space="preserve">Education Council of the Netherlands (Onderwijsraad), </w:t>
      </w:r>
      <w:r w:rsidRPr="00AE38CA">
        <w:rPr>
          <w:rFonts w:ascii="Verdana" w:hAnsi="Verdana"/>
          <w:i/>
          <w:sz w:val="20"/>
        </w:rPr>
        <w:t>Refugees and Education,</w:t>
      </w:r>
      <w:r w:rsidRPr="00AE38CA">
        <w:rPr>
          <w:rFonts w:ascii="Verdana" w:hAnsi="Verdana"/>
          <w:sz w:val="20"/>
        </w:rPr>
        <w:t xml:space="preserve"> 2017, retrieved from: </w:t>
      </w:r>
      <w:hyperlink r:id="rId57" w:history="1">
        <w:r w:rsidRPr="00AE38CA">
          <w:rPr>
            <w:rStyle w:val="Hyperlink"/>
            <w:rFonts w:ascii="Verdana" w:hAnsi="Verdana"/>
            <w:sz w:val="20"/>
          </w:rPr>
          <w:t>https://tinyurl.com/y3uzagf5</w:t>
        </w:r>
      </w:hyperlink>
      <w:r w:rsidRPr="00AE38CA">
        <w:rPr>
          <w:rFonts w:ascii="Verdana" w:hAnsi="Verdana"/>
          <w:sz w:val="20"/>
        </w:rPr>
        <w:t xml:space="preserve"> </w:t>
      </w:r>
    </w:p>
    <w:p w14:paraId="21F32352" w14:textId="079ED5C3" w:rsidR="001965B0" w:rsidRPr="001965B0" w:rsidRDefault="001965B0" w:rsidP="001965B0">
      <w:pPr>
        <w:tabs>
          <w:tab w:val="left" w:pos="975"/>
        </w:tabs>
        <w:rPr>
          <w:rFonts w:ascii="Verdana" w:hAnsi="Verdana"/>
          <w:sz w:val="20"/>
        </w:rPr>
      </w:pPr>
      <w:r>
        <w:rPr>
          <w:rFonts w:ascii="Verdana" w:hAnsi="Verdana"/>
          <w:sz w:val="20"/>
        </w:rPr>
        <w:tab/>
      </w:r>
    </w:p>
    <w:p w14:paraId="5EBAA713" w14:textId="77777777" w:rsidR="00D91D3F" w:rsidRPr="00AE38CA" w:rsidRDefault="00D91D3F" w:rsidP="001965B0">
      <w:pPr>
        <w:numPr>
          <w:ilvl w:val="0"/>
          <w:numId w:val="37"/>
        </w:numPr>
        <w:spacing w:after="0"/>
        <w:rPr>
          <w:rFonts w:ascii="Verdana" w:hAnsi="Verdana"/>
          <w:sz w:val="20"/>
          <w:lang w:val="nl-NL"/>
        </w:rPr>
      </w:pPr>
      <w:proofErr w:type="spellStart"/>
      <w:r w:rsidRPr="00AE38CA">
        <w:rPr>
          <w:rFonts w:ascii="Verdana" w:hAnsi="Verdana"/>
          <w:sz w:val="20"/>
          <w:lang w:val="nl-NL"/>
        </w:rPr>
        <w:lastRenderedPageBreak/>
        <w:t>Education</w:t>
      </w:r>
      <w:proofErr w:type="spellEnd"/>
      <w:r w:rsidRPr="00AE38CA">
        <w:rPr>
          <w:rFonts w:ascii="Verdana" w:hAnsi="Verdana"/>
          <w:sz w:val="20"/>
          <w:lang w:val="nl-NL"/>
        </w:rPr>
        <w:t xml:space="preserve"> Council of </w:t>
      </w:r>
      <w:proofErr w:type="spellStart"/>
      <w:r w:rsidRPr="00AE38CA">
        <w:rPr>
          <w:rFonts w:ascii="Verdana" w:hAnsi="Verdana"/>
          <w:sz w:val="20"/>
          <w:lang w:val="nl-NL"/>
        </w:rPr>
        <w:t>the</w:t>
      </w:r>
      <w:proofErr w:type="spellEnd"/>
      <w:r w:rsidRPr="00AE38CA">
        <w:rPr>
          <w:rFonts w:ascii="Verdana" w:hAnsi="Verdana"/>
          <w:sz w:val="20"/>
          <w:lang w:val="nl-NL"/>
        </w:rPr>
        <w:t xml:space="preserve"> Netherlands, </w:t>
      </w:r>
      <w:r w:rsidRPr="00AE38CA">
        <w:rPr>
          <w:rFonts w:ascii="Verdana" w:hAnsi="Verdana"/>
          <w:i/>
          <w:sz w:val="20"/>
          <w:lang w:val="nl-NL"/>
        </w:rPr>
        <w:t>Artikel 23 Grondwet: het duale bestel en de vrijheid van onderwijs</w:t>
      </w:r>
      <w:r w:rsidRPr="00AE38CA">
        <w:rPr>
          <w:rFonts w:ascii="Verdana" w:hAnsi="Verdana"/>
          <w:sz w:val="20"/>
          <w:lang w:val="nl-NL"/>
        </w:rPr>
        <w:t xml:space="preserve">, </w:t>
      </w:r>
      <w:proofErr w:type="spellStart"/>
      <w:r w:rsidRPr="00AE38CA">
        <w:rPr>
          <w:rFonts w:ascii="Verdana" w:hAnsi="Verdana"/>
          <w:sz w:val="20"/>
          <w:lang w:val="nl-NL"/>
        </w:rPr>
        <w:t>n.d</w:t>
      </w:r>
      <w:proofErr w:type="spellEnd"/>
      <w:r w:rsidRPr="00AE38CA">
        <w:rPr>
          <w:rFonts w:ascii="Verdana" w:hAnsi="Verdana"/>
          <w:sz w:val="20"/>
          <w:lang w:val="nl-NL"/>
        </w:rPr>
        <w:t xml:space="preserve">.,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Pr="00AE38CA">
        <w:rPr>
          <w:rFonts w:ascii="Verdana" w:hAnsi="Verdana"/>
          <w:sz w:val="20"/>
          <w:lang w:val="nl-NL"/>
        </w:rPr>
        <w:t xml:space="preserve">: </w:t>
      </w:r>
      <w:hyperlink r:id="rId58" w:history="1">
        <w:r w:rsidRPr="00AE38CA">
          <w:rPr>
            <w:rStyle w:val="Hyperlink"/>
            <w:rFonts w:ascii="Verdana" w:hAnsi="Verdana"/>
            <w:sz w:val="20"/>
            <w:lang w:val="nl-NL"/>
          </w:rPr>
          <w:t>https://tinyurl.com/yxs6tywy</w:t>
        </w:r>
      </w:hyperlink>
      <w:r w:rsidRPr="00AE38CA">
        <w:rPr>
          <w:rFonts w:ascii="Verdana" w:hAnsi="Verdana"/>
          <w:sz w:val="20"/>
          <w:lang w:val="nl-NL"/>
        </w:rPr>
        <w:t xml:space="preserve"> </w:t>
      </w:r>
    </w:p>
    <w:p w14:paraId="39A872B9"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Education Council of the Netherlands, </w:t>
      </w:r>
      <w:r w:rsidRPr="00AE38CA">
        <w:rPr>
          <w:rFonts w:ascii="Verdana" w:hAnsi="Verdana"/>
          <w:i/>
          <w:sz w:val="20"/>
        </w:rPr>
        <w:t>Advies Passend onderwijs opnieuw onder de aandacht</w:t>
      </w:r>
      <w:r w:rsidRPr="00AE38CA">
        <w:rPr>
          <w:rFonts w:ascii="Verdana" w:hAnsi="Verdana"/>
          <w:sz w:val="20"/>
        </w:rPr>
        <w:t xml:space="preserve">, retrieved from: </w:t>
      </w:r>
      <w:hyperlink r:id="rId59" w:history="1">
        <w:r w:rsidRPr="00AE38CA">
          <w:rPr>
            <w:rStyle w:val="Hyperlink"/>
            <w:rFonts w:ascii="Verdana" w:hAnsi="Verdana"/>
            <w:sz w:val="20"/>
          </w:rPr>
          <w:t>https://tinyurl.com/y3m47vq4</w:t>
        </w:r>
      </w:hyperlink>
      <w:r w:rsidRPr="00AE38CA">
        <w:rPr>
          <w:rFonts w:ascii="Verdana" w:hAnsi="Verdana"/>
          <w:sz w:val="20"/>
        </w:rPr>
        <w:t xml:space="preserve"> </w:t>
      </w:r>
    </w:p>
    <w:p w14:paraId="0E45EF7D"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European Agency for Special Needs and Inclusive Education, </w:t>
      </w:r>
      <w:r w:rsidRPr="00AE38CA">
        <w:rPr>
          <w:rFonts w:ascii="Verdana" w:hAnsi="Verdana"/>
          <w:i/>
          <w:sz w:val="20"/>
        </w:rPr>
        <w:t>Country information for Netherlands - Legislation and policy</w:t>
      </w:r>
      <w:r w:rsidRPr="00AE38CA">
        <w:rPr>
          <w:rFonts w:ascii="Verdana" w:hAnsi="Verdana"/>
          <w:sz w:val="20"/>
        </w:rPr>
        <w:t xml:space="preserve">, 2018, retrieved from: </w:t>
      </w:r>
      <w:hyperlink r:id="rId60" w:history="1">
        <w:r w:rsidRPr="00AE38CA">
          <w:rPr>
            <w:rStyle w:val="Hyperlink"/>
            <w:rFonts w:ascii="Verdana" w:hAnsi="Verdana"/>
            <w:sz w:val="20"/>
          </w:rPr>
          <w:t>https://tinyurl.com/y2p26yp4</w:t>
        </w:r>
      </w:hyperlink>
      <w:r w:rsidRPr="00AE38CA">
        <w:rPr>
          <w:rFonts w:ascii="Verdana" w:hAnsi="Verdana"/>
          <w:sz w:val="20"/>
        </w:rPr>
        <w:t xml:space="preserve"> </w:t>
      </w:r>
    </w:p>
    <w:p w14:paraId="2C013E71"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FEANTSA – Foundation Abbé Pierre Third, </w:t>
      </w:r>
      <w:r w:rsidRPr="00AE38CA">
        <w:rPr>
          <w:rFonts w:ascii="Verdana" w:hAnsi="Verdana"/>
          <w:i/>
          <w:sz w:val="20"/>
        </w:rPr>
        <w:t>Overview of housing exclusion in Europe 2018</w:t>
      </w:r>
      <w:r w:rsidRPr="00AE38CA">
        <w:rPr>
          <w:rFonts w:ascii="Verdana" w:hAnsi="Verdana"/>
          <w:sz w:val="20"/>
        </w:rPr>
        <w:t>, Feantsa, Brussels, 2018.</w:t>
      </w:r>
    </w:p>
    <w:p w14:paraId="46C53916" w14:textId="77777777" w:rsidR="00D91D3F" w:rsidRPr="00AE38CA" w:rsidRDefault="00D91D3F" w:rsidP="001965B0">
      <w:pPr>
        <w:numPr>
          <w:ilvl w:val="0"/>
          <w:numId w:val="37"/>
        </w:numPr>
        <w:spacing w:after="0"/>
        <w:rPr>
          <w:rFonts w:ascii="Verdana" w:hAnsi="Verdana"/>
          <w:sz w:val="20"/>
          <w:lang w:val="nl-NL"/>
        </w:rPr>
      </w:pPr>
      <w:proofErr w:type="spellStart"/>
      <w:r w:rsidRPr="00AE38CA">
        <w:rPr>
          <w:rFonts w:ascii="Verdana" w:hAnsi="Verdana"/>
          <w:sz w:val="20"/>
          <w:lang w:val="nl-NL"/>
        </w:rPr>
        <w:t>Folsche</w:t>
      </w:r>
      <w:proofErr w:type="spellEnd"/>
      <w:r w:rsidRPr="00AE38CA">
        <w:rPr>
          <w:rFonts w:ascii="Verdana" w:hAnsi="Verdana"/>
          <w:sz w:val="20"/>
          <w:lang w:val="nl-NL"/>
        </w:rPr>
        <w:t xml:space="preserve">, L., Van der Hoeve, R., </w:t>
      </w:r>
      <w:proofErr w:type="spellStart"/>
      <w:r w:rsidRPr="00AE38CA">
        <w:rPr>
          <w:rFonts w:ascii="Verdana" w:hAnsi="Verdana"/>
          <w:sz w:val="20"/>
          <w:lang w:val="nl-NL"/>
        </w:rPr>
        <w:t>Holzmann</w:t>
      </w:r>
      <w:proofErr w:type="spellEnd"/>
      <w:r w:rsidRPr="00AE38CA">
        <w:rPr>
          <w:rFonts w:ascii="Verdana" w:hAnsi="Verdana"/>
          <w:sz w:val="20"/>
          <w:lang w:val="nl-NL"/>
        </w:rPr>
        <w:t xml:space="preserve">, M., </w:t>
      </w:r>
      <w:r w:rsidRPr="00AE38CA">
        <w:rPr>
          <w:rFonts w:ascii="Verdana" w:hAnsi="Verdana"/>
          <w:i/>
          <w:sz w:val="20"/>
          <w:lang w:val="nl-NL"/>
        </w:rPr>
        <w:t>Onderzoek naar toename jeugdhulp wijkteams</w:t>
      </w:r>
      <w:r w:rsidRPr="00AE38CA">
        <w:rPr>
          <w:rFonts w:ascii="Verdana" w:hAnsi="Verdana"/>
          <w:sz w:val="20"/>
          <w:lang w:val="nl-NL"/>
        </w:rPr>
        <w:t>, I&amp;O Research, Amsterdam, 2018.</w:t>
      </w:r>
    </w:p>
    <w:p w14:paraId="172BD823"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Frazer, H. and Marlier, E., </w:t>
      </w:r>
      <w:r w:rsidRPr="00AE38CA">
        <w:rPr>
          <w:rFonts w:ascii="Verdana" w:hAnsi="Verdana"/>
          <w:i/>
          <w:sz w:val="20"/>
        </w:rPr>
        <w:t>Progress across Europe in the implementation of the 2013 EU Recommendation on “Investing in children: Breaking the cycle of disadvantage”. A study of national policies</w:t>
      </w:r>
      <w:r w:rsidRPr="00AE38CA">
        <w:rPr>
          <w:rFonts w:ascii="Verdana" w:hAnsi="Verdana"/>
          <w:sz w:val="20"/>
        </w:rPr>
        <w:t>, European Social Policy Network (ESPN), Brussels: European Commission, 2017.</w:t>
      </w:r>
    </w:p>
    <w:p w14:paraId="080F73B6"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GGD HN, </w:t>
      </w:r>
      <w:r w:rsidRPr="00AE38CA">
        <w:rPr>
          <w:rFonts w:ascii="Verdana" w:hAnsi="Verdana"/>
          <w:i/>
          <w:sz w:val="20"/>
        </w:rPr>
        <w:t>Visiting the consultation centre</w:t>
      </w:r>
      <w:r w:rsidRPr="00AE38CA">
        <w:rPr>
          <w:rFonts w:ascii="Verdana" w:hAnsi="Verdana"/>
          <w:sz w:val="20"/>
        </w:rPr>
        <w:t xml:space="preserve">, GGD HN, n.d., retrieved from: </w:t>
      </w:r>
      <w:hyperlink r:id="rId61" w:history="1">
        <w:r w:rsidRPr="00AE38CA">
          <w:rPr>
            <w:rStyle w:val="Hyperlink"/>
            <w:rFonts w:ascii="Verdana" w:hAnsi="Verdana"/>
            <w:sz w:val="20"/>
          </w:rPr>
          <w:t>https://tinyurl.com/yyf222rg</w:t>
        </w:r>
      </w:hyperlink>
      <w:r w:rsidRPr="00AE38CA">
        <w:rPr>
          <w:rFonts w:ascii="Verdana" w:hAnsi="Verdana"/>
          <w:sz w:val="20"/>
        </w:rPr>
        <w:t xml:space="preserve"> </w:t>
      </w:r>
    </w:p>
    <w:p w14:paraId="53D6BB0C"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Government of the Netherlands, </w:t>
      </w:r>
      <w:r w:rsidRPr="00AE38CA">
        <w:rPr>
          <w:rFonts w:ascii="Verdana" w:hAnsi="Verdana"/>
          <w:i/>
          <w:sz w:val="20"/>
        </w:rPr>
        <w:t>Youth care and child protection</w:t>
      </w:r>
      <w:r w:rsidRPr="00AE38CA">
        <w:rPr>
          <w:rFonts w:ascii="Verdana" w:hAnsi="Verdana"/>
          <w:sz w:val="20"/>
        </w:rPr>
        <w:t xml:space="preserve">, Government of the Netherlands, The Hague, n.d., retrieved from </w:t>
      </w:r>
      <w:hyperlink r:id="rId62" w:history="1">
        <w:r w:rsidRPr="00AE38CA">
          <w:rPr>
            <w:rStyle w:val="Hyperlink"/>
            <w:rFonts w:ascii="Verdana" w:hAnsi="Verdana"/>
            <w:sz w:val="20"/>
          </w:rPr>
          <w:t>https://www.government.nl/topics/youth-policy/youth-care-and-child-protection</w:t>
        </w:r>
      </w:hyperlink>
      <w:r w:rsidRPr="00AE38CA">
        <w:rPr>
          <w:rFonts w:ascii="Verdana" w:hAnsi="Verdana"/>
          <w:sz w:val="20"/>
        </w:rPr>
        <w:t xml:space="preserve"> </w:t>
      </w:r>
    </w:p>
    <w:p w14:paraId="6FD2A275" w14:textId="77777777" w:rsidR="00D91D3F" w:rsidRPr="00AE38CA" w:rsidRDefault="00D91D3F" w:rsidP="001965B0">
      <w:pPr>
        <w:numPr>
          <w:ilvl w:val="0"/>
          <w:numId w:val="37"/>
        </w:numPr>
        <w:spacing w:after="0"/>
        <w:rPr>
          <w:rFonts w:ascii="Verdana" w:hAnsi="Verdana"/>
          <w:sz w:val="20"/>
        </w:rPr>
      </w:pPr>
      <w:proofErr w:type="spellStart"/>
      <w:r w:rsidRPr="00AE38CA">
        <w:rPr>
          <w:rFonts w:ascii="Verdana" w:hAnsi="Verdana"/>
          <w:sz w:val="20"/>
          <w:lang w:val="nl-NL"/>
        </w:rPr>
        <w:t>Hekwolter</w:t>
      </w:r>
      <w:proofErr w:type="spellEnd"/>
      <w:r w:rsidRPr="00AE38CA">
        <w:rPr>
          <w:rFonts w:ascii="Verdana" w:hAnsi="Verdana"/>
          <w:sz w:val="20"/>
          <w:lang w:val="nl-NL"/>
        </w:rPr>
        <w:t xml:space="preserve"> of Hekhuis, </w:t>
      </w:r>
      <w:proofErr w:type="spellStart"/>
      <w:r w:rsidRPr="00AE38CA">
        <w:rPr>
          <w:rFonts w:ascii="Verdana" w:hAnsi="Verdana"/>
          <w:sz w:val="20"/>
          <w:lang w:val="nl-NL"/>
        </w:rPr>
        <w:t>Nijskens</w:t>
      </w:r>
      <w:proofErr w:type="spellEnd"/>
      <w:r w:rsidRPr="00AE38CA">
        <w:rPr>
          <w:rFonts w:ascii="Verdana" w:hAnsi="Verdana"/>
          <w:sz w:val="20"/>
          <w:lang w:val="nl-NL"/>
        </w:rPr>
        <w:t xml:space="preserve"> </w:t>
      </w:r>
      <w:proofErr w:type="spellStart"/>
      <w:r w:rsidRPr="00AE38CA">
        <w:rPr>
          <w:rFonts w:ascii="Verdana" w:hAnsi="Verdana"/>
          <w:sz w:val="20"/>
          <w:lang w:val="nl-NL"/>
        </w:rPr>
        <w:t>and</w:t>
      </w:r>
      <w:proofErr w:type="spellEnd"/>
      <w:r w:rsidRPr="00AE38CA">
        <w:rPr>
          <w:rFonts w:ascii="Verdana" w:hAnsi="Verdana"/>
          <w:sz w:val="20"/>
          <w:lang w:val="nl-NL"/>
        </w:rPr>
        <w:t xml:space="preserve"> </w:t>
      </w:r>
      <w:proofErr w:type="spellStart"/>
      <w:r w:rsidRPr="00AE38CA">
        <w:rPr>
          <w:rFonts w:ascii="Verdana" w:hAnsi="Verdana"/>
          <w:sz w:val="20"/>
          <w:lang w:val="nl-NL"/>
        </w:rPr>
        <w:t>Heeringa</w:t>
      </w:r>
      <w:proofErr w:type="spellEnd"/>
      <w:r w:rsidRPr="00AE38CA">
        <w:rPr>
          <w:rFonts w:ascii="Verdana" w:hAnsi="Verdana"/>
          <w:sz w:val="20"/>
          <w:lang w:val="nl-NL"/>
        </w:rPr>
        <w:t xml:space="preserve">. </w:t>
      </w:r>
      <w:r w:rsidRPr="00AE38CA">
        <w:rPr>
          <w:rFonts w:ascii="Verdana" w:hAnsi="Verdana"/>
          <w:i/>
          <w:sz w:val="20"/>
        </w:rPr>
        <w:t>The housing market in major Dutch cities.</w:t>
      </w:r>
      <w:r w:rsidRPr="00AE38CA">
        <w:rPr>
          <w:rFonts w:ascii="Verdana" w:hAnsi="Verdana"/>
          <w:sz w:val="20"/>
        </w:rPr>
        <w:t xml:space="preserve"> De Nederlandsche Bank N.V. Amsterdam, 2017.</w:t>
      </w:r>
    </w:p>
    <w:p w14:paraId="7EAF604E"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Hilverdink, P., Daamen, W., Vink, C., </w:t>
      </w:r>
      <w:r w:rsidRPr="00AE38CA">
        <w:rPr>
          <w:rFonts w:ascii="Verdana" w:hAnsi="Verdana"/>
          <w:i/>
          <w:sz w:val="20"/>
        </w:rPr>
        <w:t>Children and youth support and care in the Netherlands</w:t>
      </w:r>
      <w:r w:rsidRPr="00AE38CA">
        <w:rPr>
          <w:rFonts w:ascii="Verdana" w:hAnsi="Verdana"/>
          <w:sz w:val="20"/>
        </w:rPr>
        <w:t>, Netherlands Youth Institute / NJi, Utrecht, 2015.</w:t>
      </w:r>
    </w:p>
    <w:p w14:paraId="290E8FA4"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Hoekstra, J., </w:t>
      </w:r>
      <w:r w:rsidRPr="00AE38CA">
        <w:rPr>
          <w:rFonts w:ascii="Verdana" w:hAnsi="Verdana"/>
          <w:i/>
          <w:sz w:val="20"/>
        </w:rPr>
        <w:t>Reregulation and Residualization in Dutch social Housing: a critical Evaluation of new Policies</w:t>
      </w:r>
      <w:r w:rsidRPr="00AE38CA">
        <w:rPr>
          <w:rFonts w:ascii="Verdana" w:hAnsi="Verdana"/>
          <w:sz w:val="20"/>
        </w:rPr>
        <w:t xml:space="preserve">, Critical Housing Analysis, Vol. 4, No. 1, pp. 31-39, 2017. </w:t>
      </w:r>
    </w:p>
    <w:p w14:paraId="2EA9516F"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ING Economisch Bureau, </w:t>
      </w:r>
      <w:r w:rsidRPr="00AE38CA">
        <w:rPr>
          <w:rFonts w:ascii="Verdana" w:hAnsi="Verdana"/>
          <w:i/>
          <w:sz w:val="20"/>
          <w:lang w:val="nl-NL"/>
        </w:rPr>
        <w:t>Doorstroming huurmarkt onder druk</w:t>
      </w:r>
      <w:r w:rsidRPr="00AE38CA">
        <w:rPr>
          <w:rFonts w:ascii="Verdana" w:hAnsi="Verdana"/>
          <w:sz w:val="20"/>
          <w:lang w:val="nl-NL"/>
        </w:rPr>
        <w:t>, ING Economisch Bureau, 2017.</w:t>
      </w:r>
    </w:p>
    <w:p w14:paraId="30A5D469"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Inspectorate of Education, </w:t>
      </w:r>
      <w:r w:rsidRPr="00AE38CA">
        <w:rPr>
          <w:rFonts w:ascii="Verdana" w:hAnsi="Verdana"/>
          <w:i/>
          <w:sz w:val="20"/>
        </w:rPr>
        <w:t>the State of Education in the Netherlands 2016/2017</w:t>
      </w:r>
      <w:r w:rsidRPr="00AE38CA">
        <w:rPr>
          <w:rFonts w:ascii="Verdana" w:hAnsi="Verdana"/>
          <w:sz w:val="20"/>
        </w:rPr>
        <w:t xml:space="preserve">, retrieved from: </w:t>
      </w:r>
      <w:hyperlink r:id="rId63" w:history="1">
        <w:r w:rsidRPr="00AE38CA">
          <w:rPr>
            <w:rStyle w:val="Hyperlink"/>
            <w:rFonts w:ascii="Verdana" w:hAnsi="Verdana"/>
            <w:sz w:val="20"/>
          </w:rPr>
          <w:t>https://tinyurl.com/y2ajta8j</w:t>
        </w:r>
      </w:hyperlink>
      <w:r w:rsidRPr="00AE38CA">
        <w:rPr>
          <w:rFonts w:ascii="Verdana" w:hAnsi="Verdana"/>
          <w:sz w:val="20"/>
        </w:rPr>
        <w:t xml:space="preserve"> </w:t>
      </w:r>
    </w:p>
    <w:p w14:paraId="105E54C5" w14:textId="0DE6BB2C" w:rsidR="006347D6" w:rsidRPr="00AE38CA" w:rsidRDefault="006347D6" w:rsidP="001965B0">
      <w:pPr>
        <w:numPr>
          <w:ilvl w:val="0"/>
          <w:numId w:val="37"/>
        </w:numPr>
        <w:spacing w:after="0"/>
        <w:rPr>
          <w:rFonts w:ascii="Verdana" w:hAnsi="Verdana"/>
          <w:sz w:val="20"/>
        </w:rPr>
      </w:pPr>
      <w:proofErr w:type="spellStart"/>
      <w:r w:rsidRPr="00AE38CA">
        <w:rPr>
          <w:rFonts w:ascii="Verdana" w:hAnsi="Verdana" w:cs="Calibri"/>
          <w:sz w:val="20"/>
        </w:rPr>
        <w:t>Jaarrapport</w:t>
      </w:r>
      <w:proofErr w:type="spellEnd"/>
      <w:r w:rsidRPr="00AE38CA">
        <w:rPr>
          <w:rFonts w:ascii="Verdana" w:hAnsi="Verdana" w:cs="Calibri"/>
          <w:sz w:val="20"/>
        </w:rPr>
        <w:t xml:space="preserve"> </w:t>
      </w:r>
      <w:proofErr w:type="spellStart"/>
      <w:r w:rsidRPr="00AE38CA">
        <w:rPr>
          <w:rFonts w:ascii="Verdana" w:hAnsi="Verdana" w:cs="Calibri"/>
          <w:sz w:val="20"/>
        </w:rPr>
        <w:t>Landelijke</w:t>
      </w:r>
      <w:proofErr w:type="spellEnd"/>
      <w:r w:rsidRPr="00AE38CA">
        <w:rPr>
          <w:rFonts w:ascii="Verdana" w:hAnsi="Verdana" w:cs="Calibri"/>
          <w:sz w:val="20"/>
        </w:rPr>
        <w:t xml:space="preserve"> </w:t>
      </w:r>
      <w:proofErr w:type="spellStart"/>
      <w:r w:rsidRPr="00AE38CA">
        <w:rPr>
          <w:rFonts w:ascii="Verdana" w:hAnsi="Verdana" w:cs="Calibri"/>
          <w:sz w:val="20"/>
        </w:rPr>
        <w:t>Jeugdmonitor</w:t>
      </w:r>
      <w:proofErr w:type="spellEnd"/>
      <w:r w:rsidRPr="00AE38CA">
        <w:rPr>
          <w:rFonts w:ascii="Verdana" w:hAnsi="Verdana" w:cs="Calibri"/>
          <w:sz w:val="20"/>
        </w:rPr>
        <w:t xml:space="preserve"> 2018</w:t>
      </w:r>
    </w:p>
    <w:p w14:paraId="64D285C0" w14:textId="09294C3C"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Klaver, J., Pilat, A., Potkanska, D., Sitko, A., </w:t>
      </w:r>
      <w:r w:rsidRPr="00AE38CA">
        <w:rPr>
          <w:rFonts w:ascii="Verdana" w:hAnsi="Verdana"/>
          <w:i/>
          <w:sz w:val="20"/>
        </w:rPr>
        <w:t>Local Responses to the refugee crisis. Reception and integration</w:t>
      </w:r>
      <w:r w:rsidRPr="00AE38CA">
        <w:rPr>
          <w:rFonts w:ascii="Verdana" w:hAnsi="Verdana"/>
          <w:sz w:val="20"/>
        </w:rPr>
        <w:t>, Public Affairs, Warsaw, 2016.</w:t>
      </w:r>
    </w:p>
    <w:p w14:paraId="7B620D22"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rPr>
        <w:t xml:space="preserve">Klijnsma, J., </w:t>
      </w:r>
      <w:r w:rsidRPr="00AE38CA">
        <w:rPr>
          <w:rFonts w:ascii="Verdana" w:hAnsi="Verdana"/>
          <w:i/>
          <w:sz w:val="20"/>
        </w:rPr>
        <w:t>Letter to Parliament opportunities for all children</w:t>
      </w:r>
      <w:r w:rsidRPr="00AE38CA">
        <w:rPr>
          <w:rFonts w:ascii="Verdana" w:hAnsi="Verdana"/>
          <w:sz w:val="20"/>
        </w:rPr>
        <w:t xml:space="preserve">. </w:t>
      </w:r>
      <w:r w:rsidRPr="00AE38CA">
        <w:rPr>
          <w:rFonts w:ascii="Verdana" w:hAnsi="Verdana"/>
          <w:sz w:val="20"/>
          <w:lang w:val="nl-NL"/>
        </w:rPr>
        <w:t>(Brief aan de Tweede Kamer der Staten-Generaal kansen voor alle kinderen), ref no 2016-0000201246, 2016.</w:t>
      </w:r>
    </w:p>
    <w:p w14:paraId="7B9ED140" w14:textId="77777777" w:rsidR="00D91D3F" w:rsidRPr="00AE38CA" w:rsidRDefault="00D91D3F" w:rsidP="001965B0">
      <w:pPr>
        <w:numPr>
          <w:ilvl w:val="0"/>
          <w:numId w:val="37"/>
        </w:numPr>
        <w:spacing w:after="0"/>
        <w:rPr>
          <w:rFonts w:ascii="Verdana" w:hAnsi="Verdana"/>
          <w:sz w:val="20"/>
          <w:lang w:val="nl-NL"/>
        </w:rPr>
      </w:pPr>
      <w:proofErr w:type="spellStart"/>
      <w:r w:rsidRPr="00AE38CA">
        <w:rPr>
          <w:rFonts w:ascii="Verdana" w:hAnsi="Verdana"/>
          <w:sz w:val="20"/>
        </w:rPr>
        <w:t>Klijnsma</w:t>
      </w:r>
      <w:proofErr w:type="spellEnd"/>
      <w:r w:rsidRPr="00AE38CA">
        <w:rPr>
          <w:rFonts w:ascii="Verdana" w:hAnsi="Verdana"/>
          <w:sz w:val="20"/>
        </w:rPr>
        <w:t xml:space="preserve">, J., </w:t>
      </w:r>
      <w:r w:rsidRPr="00AE38CA">
        <w:rPr>
          <w:rFonts w:ascii="Verdana" w:hAnsi="Verdana"/>
          <w:i/>
          <w:sz w:val="20"/>
        </w:rPr>
        <w:t>Letter to Parliament progress opportunities for all children</w:t>
      </w:r>
      <w:r w:rsidRPr="00AE38CA">
        <w:rPr>
          <w:rFonts w:ascii="Verdana" w:hAnsi="Verdana"/>
          <w:sz w:val="20"/>
        </w:rPr>
        <w:t xml:space="preserve">. </w:t>
      </w:r>
      <w:r w:rsidRPr="00AE38CA">
        <w:rPr>
          <w:rFonts w:ascii="Verdana" w:hAnsi="Verdana"/>
          <w:sz w:val="20"/>
          <w:lang w:val="nl-NL"/>
        </w:rPr>
        <w:t>(Brief aan de Tweede Kamer der Staten-Generaal voortgang kansen voor alle kinderen), ref no 2016-0000248919, 2016.</w:t>
      </w:r>
    </w:p>
    <w:p w14:paraId="16CE86DA"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lang w:val="nl-NL"/>
        </w:rPr>
        <w:t xml:space="preserve">Kroneman, M., Boerma, W, Van den Berg, M., Groenewegen. </w:t>
      </w:r>
      <w:r w:rsidRPr="00AE38CA">
        <w:rPr>
          <w:rFonts w:ascii="Verdana" w:hAnsi="Verdana"/>
          <w:sz w:val="20"/>
        </w:rPr>
        <w:t xml:space="preserve">P., De Jong, J., Van Ginneken, E., </w:t>
      </w:r>
      <w:r w:rsidRPr="00AE38CA">
        <w:rPr>
          <w:rFonts w:ascii="Verdana" w:hAnsi="Verdana"/>
          <w:i/>
          <w:sz w:val="20"/>
        </w:rPr>
        <w:t>The Netherlands: health system review</w:t>
      </w:r>
      <w:r w:rsidRPr="00AE38CA">
        <w:rPr>
          <w:rFonts w:ascii="Verdana" w:hAnsi="Verdana"/>
          <w:sz w:val="20"/>
        </w:rPr>
        <w:t>, Health Systems in Transition, World Health Organization, Copenhagen, 2016; Vol. 18, No 2, pp. 1–239.</w:t>
      </w:r>
    </w:p>
    <w:p w14:paraId="0C1823C1"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lang w:val="nl-NL"/>
        </w:rPr>
        <w:t xml:space="preserve">Kruis, G. </w:t>
      </w:r>
      <w:proofErr w:type="spellStart"/>
      <w:r w:rsidRPr="00AE38CA">
        <w:rPr>
          <w:rFonts w:ascii="Verdana" w:hAnsi="Verdana"/>
          <w:sz w:val="20"/>
          <w:lang w:val="nl-NL"/>
        </w:rPr>
        <w:t>and</w:t>
      </w:r>
      <w:proofErr w:type="spellEnd"/>
      <w:r w:rsidRPr="00AE38CA">
        <w:rPr>
          <w:rFonts w:ascii="Verdana" w:hAnsi="Verdana"/>
          <w:sz w:val="20"/>
          <w:lang w:val="nl-NL"/>
        </w:rPr>
        <w:t xml:space="preserve"> van Waveren, R.C.. </w:t>
      </w:r>
      <w:r w:rsidRPr="00AE38CA">
        <w:rPr>
          <w:rFonts w:ascii="Verdana" w:hAnsi="Verdana"/>
          <w:i/>
          <w:sz w:val="20"/>
        </w:rPr>
        <w:t>ESPN Thematic Report on Progress in the implementation of the 2013 EU Recommendation on “Investing in children: Breaking the cycle of disadvantage”</w:t>
      </w:r>
      <w:r w:rsidRPr="00AE38CA">
        <w:rPr>
          <w:rFonts w:ascii="Verdana" w:hAnsi="Verdana"/>
          <w:sz w:val="20"/>
        </w:rPr>
        <w:t>: The Netherlands. Amsterdam/Brussels: Regioplan/European Commission, 2017.</w:t>
      </w:r>
    </w:p>
    <w:p w14:paraId="15204C54"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LNV Ministry of Agriculture, Nature and Food Quality, </w:t>
      </w:r>
      <w:r w:rsidRPr="00AE38CA">
        <w:rPr>
          <w:rFonts w:ascii="Verdana" w:hAnsi="Verdana"/>
          <w:i/>
          <w:sz w:val="20"/>
        </w:rPr>
        <w:t xml:space="preserve">Food agenda: The Netherlands as leading international in healthy and sustainable nutrition, </w:t>
      </w:r>
      <w:r w:rsidRPr="00AE38CA">
        <w:rPr>
          <w:rFonts w:ascii="Verdana" w:hAnsi="Verdana"/>
          <w:sz w:val="20"/>
        </w:rPr>
        <w:t xml:space="preserve">Ministry of Agriculture, Nature and Food Quality, The Hague, 2016, retrieved from:  </w:t>
      </w:r>
      <w:hyperlink r:id="rId64" w:history="1">
        <w:r w:rsidRPr="00AE38CA">
          <w:rPr>
            <w:rStyle w:val="Hyperlink"/>
            <w:rFonts w:ascii="Verdana" w:hAnsi="Verdana"/>
            <w:sz w:val="20"/>
          </w:rPr>
          <w:t>https://tinyurl.com/yy2w7ttt</w:t>
        </w:r>
      </w:hyperlink>
      <w:r w:rsidRPr="00AE38CA">
        <w:rPr>
          <w:rFonts w:ascii="Verdana" w:hAnsi="Verdana"/>
          <w:sz w:val="20"/>
        </w:rPr>
        <w:t xml:space="preserve"> </w:t>
      </w:r>
    </w:p>
    <w:p w14:paraId="1CDE7F6D"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Muller, P. &amp; </w:t>
      </w:r>
      <w:proofErr w:type="spellStart"/>
      <w:r w:rsidRPr="00AE38CA">
        <w:rPr>
          <w:rFonts w:ascii="Verdana" w:hAnsi="Verdana"/>
          <w:sz w:val="20"/>
          <w:lang w:val="nl-NL"/>
        </w:rPr>
        <w:t>Kolijn</w:t>
      </w:r>
      <w:proofErr w:type="spellEnd"/>
      <w:r w:rsidRPr="00AE38CA">
        <w:rPr>
          <w:rFonts w:ascii="Verdana" w:hAnsi="Verdana"/>
          <w:sz w:val="20"/>
          <w:lang w:val="nl-NL"/>
        </w:rPr>
        <w:t xml:space="preserve">, E., </w:t>
      </w:r>
      <w:r w:rsidRPr="00AE38CA">
        <w:rPr>
          <w:rFonts w:ascii="Verdana" w:hAnsi="Verdana"/>
          <w:i/>
          <w:sz w:val="20"/>
          <w:lang w:val="nl-NL"/>
        </w:rPr>
        <w:t>Peuter in de asielopvang naar de peuterspeelzaal,</w:t>
      </w:r>
      <w:r w:rsidRPr="00AE38CA">
        <w:rPr>
          <w:rFonts w:ascii="Verdana" w:hAnsi="Verdana"/>
          <w:sz w:val="20"/>
          <w:lang w:val="nl-NL"/>
        </w:rPr>
        <w:t xml:space="preserve"> </w:t>
      </w:r>
      <w:proofErr w:type="spellStart"/>
      <w:r w:rsidRPr="00AE38CA">
        <w:rPr>
          <w:rFonts w:ascii="Verdana" w:hAnsi="Verdana"/>
          <w:sz w:val="20"/>
          <w:lang w:val="nl-NL"/>
        </w:rPr>
        <w:t>Sardes</w:t>
      </w:r>
      <w:proofErr w:type="spellEnd"/>
      <w:r w:rsidRPr="00AE38CA">
        <w:rPr>
          <w:rFonts w:ascii="Verdana" w:hAnsi="Verdana"/>
          <w:sz w:val="20"/>
          <w:lang w:val="nl-NL"/>
        </w:rPr>
        <w:t>, Utrecht, 2016.</w:t>
      </w:r>
    </w:p>
    <w:p w14:paraId="1ECB349E"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Netherlands </w:t>
      </w:r>
      <w:proofErr w:type="spellStart"/>
      <w:r w:rsidRPr="00AE38CA">
        <w:rPr>
          <w:rFonts w:ascii="Verdana" w:hAnsi="Verdana"/>
          <w:sz w:val="20"/>
          <w:lang w:val="nl-NL"/>
        </w:rPr>
        <w:t>Institute</w:t>
      </w:r>
      <w:proofErr w:type="spellEnd"/>
      <w:r w:rsidRPr="00AE38CA">
        <w:rPr>
          <w:rFonts w:ascii="Verdana" w:hAnsi="Verdana"/>
          <w:sz w:val="20"/>
          <w:lang w:val="nl-NL"/>
        </w:rPr>
        <w:t xml:space="preserve"> </w:t>
      </w:r>
      <w:proofErr w:type="spellStart"/>
      <w:r w:rsidRPr="00AE38CA">
        <w:rPr>
          <w:rFonts w:ascii="Verdana" w:hAnsi="Verdana"/>
          <w:sz w:val="20"/>
          <w:lang w:val="nl-NL"/>
        </w:rPr>
        <w:t>for</w:t>
      </w:r>
      <w:proofErr w:type="spellEnd"/>
      <w:r w:rsidRPr="00AE38CA">
        <w:rPr>
          <w:rFonts w:ascii="Verdana" w:hAnsi="Verdana"/>
          <w:sz w:val="20"/>
          <w:lang w:val="nl-NL"/>
        </w:rPr>
        <w:t xml:space="preserve"> Human </w:t>
      </w:r>
      <w:proofErr w:type="spellStart"/>
      <w:r w:rsidRPr="00AE38CA">
        <w:rPr>
          <w:rFonts w:ascii="Verdana" w:hAnsi="Verdana"/>
          <w:sz w:val="20"/>
          <w:lang w:val="nl-NL"/>
        </w:rPr>
        <w:t>Rights</w:t>
      </w:r>
      <w:proofErr w:type="spellEnd"/>
      <w:r w:rsidRPr="00AE38CA">
        <w:rPr>
          <w:rFonts w:ascii="Verdana" w:hAnsi="Verdana"/>
          <w:sz w:val="20"/>
          <w:lang w:val="nl-NL"/>
        </w:rPr>
        <w:t xml:space="preserve">, </w:t>
      </w:r>
      <w:r w:rsidRPr="00AE38CA">
        <w:rPr>
          <w:rFonts w:ascii="Verdana" w:hAnsi="Verdana"/>
          <w:i/>
          <w:sz w:val="20"/>
          <w:lang w:val="nl-NL"/>
        </w:rPr>
        <w:t>VN-verdrag handicap in Nederland 2017</w:t>
      </w:r>
      <w:r w:rsidRPr="00AE38CA">
        <w:rPr>
          <w:rFonts w:ascii="Verdana" w:hAnsi="Verdana"/>
          <w:sz w:val="20"/>
          <w:lang w:val="nl-NL"/>
        </w:rPr>
        <w:t>, College voor de Rechten van de Mens, Utrecht, 2017.</w:t>
      </w:r>
    </w:p>
    <w:p w14:paraId="74AE57D4" w14:textId="77777777" w:rsidR="00D91D3F" w:rsidRPr="00AE38CA" w:rsidRDefault="00D91D3F" w:rsidP="001965B0">
      <w:pPr>
        <w:numPr>
          <w:ilvl w:val="0"/>
          <w:numId w:val="37"/>
        </w:numPr>
        <w:spacing w:after="0"/>
        <w:rPr>
          <w:rFonts w:ascii="Verdana" w:hAnsi="Verdana"/>
          <w:sz w:val="20"/>
        </w:rPr>
      </w:pPr>
      <w:proofErr w:type="spellStart"/>
      <w:r w:rsidRPr="00AE38CA">
        <w:rPr>
          <w:rFonts w:ascii="Verdana" w:hAnsi="Verdana"/>
          <w:sz w:val="20"/>
        </w:rPr>
        <w:t>Nibud</w:t>
      </w:r>
      <w:proofErr w:type="spellEnd"/>
      <w:r w:rsidRPr="00AE38CA">
        <w:rPr>
          <w:rFonts w:ascii="Verdana" w:hAnsi="Verdana"/>
          <w:sz w:val="20"/>
        </w:rPr>
        <w:t xml:space="preserve">, </w:t>
      </w:r>
      <w:r w:rsidRPr="00AE38CA">
        <w:rPr>
          <w:rFonts w:ascii="Verdana" w:hAnsi="Verdana"/>
          <w:i/>
          <w:sz w:val="20"/>
        </w:rPr>
        <w:t xml:space="preserve">Wat </w:t>
      </w:r>
      <w:proofErr w:type="spellStart"/>
      <w:r w:rsidRPr="00AE38CA">
        <w:rPr>
          <w:rFonts w:ascii="Verdana" w:hAnsi="Verdana"/>
          <w:i/>
          <w:sz w:val="20"/>
        </w:rPr>
        <w:t>kost</w:t>
      </w:r>
      <w:proofErr w:type="spellEnd"/>
      <w:r w:rsidRPr="00AE38CA">
        <w:rPr>
          <w:rFonts w:ascii="Verdana" w:hAnsi="Verdana"/>
          <w:i/>
          <w:sz w:val="20"/>
        </w:rPr>
        <w:t xml:space="preserve"> </w:t>
      </w:r>
      <w:proofErr w:type="spellStart"/>
      <w:r w:rsidRPr="00AE38CA">
        <w:rPr>
          <w:rFonts w:ascii="Verdana" w:hAnsi="Verdana"/>
          <w:i/>
          <w:sz w:val="20"/>
        </w:rPr>
        <w:t>uw</w:t>
      </w:r>
      <w:proofErr w:type="spellEnd"/>
      <w:r w:rsidRPr="00AE38CA">
        <w:rPr>
          <w:rFonts w:ascii="Verdana" w:hAnsi="Verdana"/>
          <w:i/>
          <w:sz w:val="20"/>
        </w:rPr>
        <w:t xml:space="preserve"> kind?</w:t>
      </w:r>
      <w:r w:rsidRPr="00AE38CA">
        <w:rPr>
          <w:rFonts w:ascii="Verdana" w:hAnsi="Verdana"/>
          <w:sz w:val="20"/>
        </w:rPr>
        <w:t xml:space="preserve">, n.d., retrieved from: https://www.nibud.nl/consumenten/wat-kost-uw-kind/ </w:t>
      </w:r>
    </w:p>
    <w:p w14:paraId="5F6C5653" w14:textId="77777777"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lastRenderedPageBreak/>
        <w:t xml:space="preserve">NVM Nederlandse Vereniging van Makelaars, </w:t>
      </w:r>
      <w:r w:rsidRPr="00AE38CA">
        <w:rPr>
          <w:rFonts w:ascii="Verdana" w:hAnsi="Verdana"/>
          <w:i/>
          <w:sz w:val="20"/>
          <w:lang w:val="nl-NL"/>
        </w:rPr>
        <w:t>Koopwoningmarkt</w:t>
      </w:r>
      <w:r w:rsidRPr="00AE38CA">
        <w:rPr>
          <w:rFonts w:ascii="Verdana" w:hAnsi="Verdana"/>
          <w:sz w:val="20"/>
          <w:lang w:val="nl-NL"/>
        </w:rPr>
        <w:t xml:space="preserve">, NVM, Nieuwegein, </w:t>
      </w:r>
      <w:proofErr w:type="spellStart"/>
      <w:r w:rsidRPr="00AE38CA">
        <w:rPr>
          <w:rFonts w:ascii="Verdana" w:hAnsi="Verdana"/>
          <w:sz w:val="20"/>
          <w:lang w:val="nl-NL"/>
        </w:rPr>
        <w:t>n.d</w:t>
      </w:r>
      <w:proofErr w:type="spellEnd"/>
      <w:r w:rsidRPr="00AE38CA">
        <w:rPr>
          <w:rFonts w:ascii="Verdana" w:hAnsi="Verdana"/>
          <w:sz w:val="20"/>
          <w:lang w:val="nl-NL"/>
        </w:rPr>
        <w:t xml:space="preserve">.,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Pr="00AE38CA">
        <w:rPr>
          <w:rFonts w:ascii="Verdana" w:hAnsi="Verdana"/>
          <w:sz w:val="20"/>
          <w:lang w:val="nl-NL"/>
        </w:rPr>
        <w:t xml:space="preserve">: </w:t>
      </w:r>
      <w:hyperlink r:id="rId65" w:history="1">
        <w:r w:rsidRPr="00AE38CA">
          <w:rPr>
            <w:rStyle w:val="Hyperlink"/>
            <w:rFonts w:ascii="Verdana" w:hAnsi="Verdana"/>
            <w:sz w:val="20"/>
            <w:lang w:val="nl-NL"/>
          </w:rPr>
          <w:t>https://www.nvm.nl/marktinformatie/marktinformatie</w:t>
        </w:r>
      </w:hyperlink>
    </w:p>
    <w:p w14:paraId="5A38A729"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OCHCR, United Nations Human Rights Office of the High Commissioner, </w:t>
      </w:r>
      <w:r w:rsidRPr="00AE38CA">
        <w:rPr>
          <w:rFonts w:ascii="Verdana" w:hAnsi="Verdana"/>
          <w:i/>
          <w:sz w:val="20"/>
        </w:rPr>
        <w:t>Committee on The Rights of the Child</w:t>
      </w:r>
      <w:r w:rsidRPr="00AE38CA">
        <w:rPr>
          <w:rFonts w:ascii="Verdana" w:hAnsi="Verdana"/>
          <w:sz w:val="20"/>
        </w:rPr>
        <w:t xml:space="preserve">, n.d., retrieved from </w:t>
      </w:r>
      <w:hyperlink r:id="rId66" w:history="1">
        <w:r w:rsidRPr="00AE38CA">
          <w:rPr>
            <w:rStyle w:val="Hyperlink"/>
            <w:rFonts w:ascii="Verdana" w:hAnsi="Verdana"/>
            <w:sz w:val="20"/>
          </w:rPr>
          <w:t>https://www.ohchr.org/EN/HRBodies/CRC/Pages/Membership.aspx</w:t>
        </w:r>
      </w:hyperlink>
      <w:r w:rsidRPr="00AE38CA">
        <w:rPr>
          <w:rFonts w:ascii="Verdana" w:hAnsi="Verdana"/>
          <w:sz w:val="20"/>
        </w:rPr>
        <w:t xml:space="preserve"> </w:t>
      </w:r>
    </w:p>
    <w:p w14:paraId="4A71B725" w14:textId="77777777" w:rsidR="005F717B" w:rsidRPr="00AE38CA" w:rsidRDefault="00D91D3F" w:rsidP="001965B0">
      <w:pPr>
        <w:numPr>
          <w:ilvl w:val="0"/>
          <w:numId w:val="37"/>
        </w:numPr>
        <w:spacing w:after="0"/>
        <w:rPr>
          <w:rFonts w:ascii="Verdana" w:hAnsi="Verdana"/>
          <w:sz w:val="20"/>
        </w:rPr>
      </w:pPr>
      <w:r w:rsidRPr="00AE38CA">
        <w:rPr>
          <w:rFonts w:ascii="Verdana" w:hAnsi="Verdana"/>
          <w:sz w:val="20"/>
        </w:rPr>
        <w:t xml:space="preserve">Office of the United Nations High Commissioner for Human Rights (OHCHR), </w:t>
      </w:r>
      <w:r w:rsidRPr="00AE38CA">
        <w:rPr>
          <w:rFonts w:ascii="Verdana" w:hAnsi="Verdana"/>
          <w:i/>
          <w:sz w:val="20"/>
        </w:rPr>
        <w:t>Convention on the Rights of the Child</w:t>
      </w:r>
      <w:r w:rsidRPr="00AE38CA">
        <w:rPr>
          <w:rFonts w:ascii="Verdana" w:hAnsi="Verdana"/>
          <w:sz w:val="20"/>
        </w:rPr>
        <w:t xml:space="preserve">, OHCHR, Geneva, 1989, retrieved from </w:t>
      </w:r>
      <w:hyperlink r:id="rId67" w:history="1">
        <w:r w:rsidRPr="00AE38CA">
          <w:rPr>
            <w:rStyle w:val="Hyperlink"/>
            <w:rFonts w:ascii="Verdana" w:hAnsi="Verdana"/>
            <w:sz w:val="20"/>
          </w:rPr>
          <w:t>https://www.ohchr.org/en/professionalinterest/pages/crc.aspx</w:t>
        </w:r>
      </w:hyperlink>
      <w:r w:rsidRPr="00AE38CA">
        <w:rPr>
          <w:rFonts w:ascii="Verdana" w:hAnsi="Verdana"/>
          <w:sz w:val="20"/>
        </w:rPr>
        <w:t xml:space="preserve"> </w:t>
      </w:r>
    </w:p>
    <w:p w14:paraId="1C638E65" w14:textId="44C85279" w:rsidR="00921D39" w:rsidRPr="00AE38CA" w:rsidRDefault="0065644E" w:rsidP="001965B0">
      <w:pPr>
        <w:numPr>
          <w:ilvl w:val="0"/>
          <w:numId w:val="37"/>
        </w:numPr>
        <w:spacing w:after="0"/>
        <w:rPr>
          <w:rFonts w:ascii="Verdana" w:hAnsi="Verdana"/>
          <w:sz w:val="20"/>
          <w:lang w:val="nl-NL"/>
        </w:rPr>
      </w:pPr>
      <w:proofErr w:type="spellStart"/>
      <w:r w:rsidRPr="00AE38CA">
        <w:rPr>
          <w:rFonts w:ascii="Verdana" w:hAnsi="Verdana"/>
          <w:sz w:val="20"/>
          <w:lang w:val="nl-NL"/>
        </w:rPr>
        <w:t>Sollie</w:t>
      </w:r>
      <w:proofErr w:type="spellEnd"/>
      <w:r w:rsidRPr="00AE38CA">
        <w:rPr>
          <w:rFonts w:ascii="Verdana" w:hAnsi="Verdana"/>
          <w:sz w:val="20"/>
          <w:lang w:val="nl-NL"/>
        </w:rPr>
        <w:t xml:space="preserve"> et.al.</w:t>
      </w:r>
      <w:r w:rsidR="003E2D70" w:rsidRPr="00AE38CA">
        <w:rPr>
          <w:rFonts w:ascii="Verdana" w:hAnsi="Verdana"/>
          <w:sz w:val="20"/>
          <w:lang w:val="nl-NL"/>
        </w:rPr>
        <w:t xml:space="preserve">, </w:t>
      </w:r>
      <w:r w:rsidR="00921D39" w:rsidRPr="00AE38CA">
        <w:rPr>
          <w:rFonts w:ascii="Verdana" w:hAnsi="Verdana"/>
          <w:i/>
          <w:sz w:val="20"/>
          <w:lang w:val="nl-NL"/>
        </w:rPr>
        <w:t>Aanpak multi-problematiek bij gezinnen met een Roma-achtergrond</w:t>
      </w:r>
      <w:r w:rsidR="003E2D70" w:rsidRPr="00AE38CA">
        <w:rPr>
          <w:rFonts w:ascii="Verdana" w:hAnsi="Verdana"/>
          <w:sz w:val="20"/>
          <w:lang w:val="nl-NL"/>
        </w:rPr>
        <w:t xml:space="preserve">, </w:t>
      </w:r>
      <w:r w:rsidR="00737CA6" w:rsidRPr="00AE38CA">
        <w:rPr>
          <w:rFonts w:ascii="Verdana" w:hAnsi="Verdana"/>
          <w:sz w:val="20"/>
          <w:lang w:val="nl-NL"/>
        </w:rPr>
        <w:t xml:space="preserve">Politieacademie, Den Haag, </w:t>
      </w:r>
      <w:r w:rsidRPr="00AE38CA">
        <w:rPr>
          <w:rFonts w:ascii="Verdana" w:hAnsi="Verdana"/>
          <w:sz w:val="20"/>
          <w:lang w:val="nl-NL"/>
        </w:rPr>
        <w:t xml:space="preserve">2013. </w:t>
      </w:r>
    </w:p>
    <w:p w14:paraId="1DE2A7EA" w14:textId="06F1AEDA" w:rsidR="00532AA3"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Van der Vlist, A., Paalvast, M. </w:t>
      </w:r>
      <w:proofErr w:type="spellStart"/>
      <w:r w:rsidRPr="00AE38CA">
        <w:rPr>
          <w:rFonts w:ascii="Verdana" w:hAnsi="Verdana"/>
          <w:sz w:val="20"/>
          <w:lang w:val="nl-NL"/>
        </w:rPr>
        <w:t>and</w:t>
      </w:r>
      <w:proofErr w:type="spellEnd"/>
      <w:r w:rsidRPr="00AE38CA">
        <w:rPr>
          <w:rFonts w:ascii="Verdana" w:hAnsi="Verdana"/>
          <w:sz w:val="20"/>
          <w:lang w:val="nl-NL"/>
        </w:rPr>
        <w:t xml:space="preserve"> van </w:t>
      </w:r>
      <w:proofErr w:type="spellStart"/>
      <w:r w:rsidRPr="00AE38CA">
        <w:rPr>
          <w:rFonts w:ascii="Verdana" w:hAnsi="Verdana"/>
          <w:sz w:val="20"/>
          <w:lang w:val="nl-NL"/>
        </w:rPr>
        <w:t>Pijkeren</w:t>
      </w:r>
      <w:proofErr w:type="spellEnd"/>
      <w:r w:rsidRPr="00AE38CA">
        <w:rPr>
          <w:rFonts w:ascii="Verdana" w:hAnsi="Verdana"/>
          <w:sz w:val="20"/>
          <w:lang w:val="nl-NL"/>
        </w:rPr>
        <w:t xml:space="preserve">, R., </w:t>
      </w:r>
      <w:r w:rsidRPr="00AE38CA">
        <w:rPr>
          <w:rFonts w:ascii="Verdana" w:hAnsi="Verdana"/>
          <w:i/>
          <w:sz w:val="20"/>
          <w:lang w:val="nl-NL"/>
        </w:rPr>
        <w:t>Wonen voor iedereen</w:t>
      </w:r>
      <w:r w:rsidRPr="00AE38CA">
        <w:rPr>
          <w:rFonts w:ascii="Verdana" w:hAnsi="Verdana"/>
          <w:sz w:val="20"/>
          <w:lang w:val="nl-NL"/>
        </w:rPr>
        <w:t>, Ieder(in) in samenwerking met</w:t>
      </w:r>
      <w:r w:rsidR="00575386" w:rsidRPr="00AE38CA">
        <w:rPr>
          <w:rFonts w:ascii="Verdana" w:hAnsi="Verdana"/>
          <w:sz w:val="20"/>
          <w:lang w:val="nl-NL"/>
        </w:rPr>
        <w:t xml:space="preserve"> </w:t>
      </w:r>
      <w:r w:rsidRPr="00AE38CA">
        <w:rPr>
          <w:rFonts w:ascii="Verdana" w:hAnsi="Verdana"/>
          <w:sz w:val="20"/>
          <w:lang w:val="nl-NL"/>
        </w:rPr>
        <w:t xml:space="preserve">Landelijk Platform GGZ en </w:t>
      </w:r>
      <w:proofErr w:type="spellStart"/>
      <w:r w:rsidRPr="00AE38CA">
        <w:rPr>
          <w:rFonts w:ascii="Verdana" w:hAnsi="Verdana"/>
          <w:sz w:val="20"/>
          <w:lang w:val="nl-NL"/>
        </w:rPr>
        <w:t>Patiëntenfederatie</w:t>
      </w:r>
      <w:proofErr w:type="spellEnd"/>
      <w:r w:rsidRPr="00AE38CA">
        <w:rPr>
          <w:rFonts w:ascii="Verdana" w:hAnsi="Verdana"/>
          <w:sz w:val="20"/>
          <w:lang w:val="nl-NL"/>
        </w:rPr>
        <w:t xml:space="preserve"> Nederland, Utrecht, 2016 </w:t>
      </w:r>
    </w:p>
    <w:p w14:paraId="388291A5" w14:textId="21337D6A" w:rsidR="007E461C" w:rsidRPr="00AE38CA" w:rsidRDefault="007E461C" w:rsidP="001965B0">
      <w:pPr>
        <w:numPr>
          <w:ilvl w:val="0"/>
          <w:numId w:val="37"/>
        </w:numPr>
        <w:spacing w:after="0"/>
        <w:rPr>
          <w:rFonts w:ascii="Verdana" w:hAnsi="Verdana"/>
          <w:sz w:val="20"/>
          <w:lang w:val="nl-NL"/>
        </w:rPr>
      </w:pPr>
      <w:proofErr w:type="spellStart"/>
      <w:r w:rsidRPr="00AE38CA">
        <w:rPr>
          <w:rFonts w:ascii="Verdana" w:hAnsi="Verdana"/>
          <w:sz w:val="20"/>
          <w:lang w:val="nl-NL"/>
        </w:rPr>
        <w:t>Risbo</w:t>
      </w:r>
      <w:proofErr w:type="spellEnd"/>
      <w:r w:rsidRPr="00AE38CA">
        <w:rPr>
          <w:rFonts w:ascii="Verdana" w:hAnsi="Verdana"/>
          <w:sz w:val="20"/>
          <w:lang w:val="nl-NL"/>
        </w:rPr>
        <w:t xml:space="preserve">, </w:t>
      </w:r>
      <w:r w:rsidRPr="00AE38CA">
        <w:rPr>
          <w:rFonts w:ascii="Verdana" w:hAnsi="Verdana"/>
          <w:i/>
          <w:sz w:val="20"/>
          <w:lang w:val="nl-NL"/>
        </w:rPr>
        <w:t xml:space="preserve">Monitor sociale inclusie, Tweede vervolgmeting naar de woon- en leefomstandigheden van Roma en </w:t>
      </w:r>
      <w:proofErr w:type="spellStart"/>
      <w:r w:rsidRPr="00AE38CA">
        <w:rPr>
          <w:rFonts w:ascii="Verdana" w:hAnsi="Verdana"/>
          <w:i/>
          <w:sz w:val="20"/>
          <w:lang w:val="nl-NL"/>
        </w:rPr>
        <w:t>Sinti</w:t>
      </w:r>
      <w:proofErr w:type="spellEnd"/>
      <w:r w:rsidRPr="00AE38CA">
        <w:rPr>
          <w:rFonts w:ascii="Verdana" w:hAnsi="Verdana"/>
          <w:i/>
          <w:sz w:val="20"/>
          <w:lang w:val="nl-NL"/>
        </w:rPr>
        <w:t xml:space="preserve"> in Nederland</w:t>
      </w:r>
      <w:r w:rsidR="00F34F48" w:rsidRPr="00AE38CA">
        <w:rPr>
          <w:rFonts w:ascii="Verdana" w:hAnsi="Verdana"/>
          <w:bCs/>
          <w:i/>
          <w:sz w:val="20"/>
          <w:lang w:val="nl-NL"/>
        </w:rPr>
        <w:t>,</w:t>
      </w:r>
      <w:r w:rsidR="000A53C9" w:rsidRPr="00AE38CA">
        <w:rPr>
          <w:rFonts w:ascii="Verdana" w:hAnsi="Verdana"/>
          <w:bCs/>
          <w:i/>
          <w:sz w:val="20"/>
          <w:lang w:val="nl-NL"/>
        </w:rPr>
        <w:t xml:space="preserve"> </w:t>
      </w:r>
      <w:proofErr w:type="spellStart"/>
      <w:r w:rsidR="000A53C9" w:rsidRPr="00AE38CA">
        <w:rPr>
          <w:rFonts w:ascii="Verdana" w:hAnsi="Verdana"/>
          <w:bCs/>
          <w:sz w:val="20"/>
          <w:lang w:val="nl-NL"/>
        </w:rPr>
        <w:t>Risbo</w:t>
      </w:r>
      <w:proofErr w:type="spellEnd"/>
      <w:r w:rsidR="009361D3" w:rsidRPr="00AE38CA">
        <w:rPr>
          <w:rFonts w:ascii="Verdana" w:hAnsi="Verdana"/>
          <w:bCs/>
          <w:sz w:val="20"/>
          <w:lang w:val="nl-NL"/>
        </w:rPr>
        <w:t>,</w:t>
      </w:r>
      <w:r w:rsidR="000A53C9" w:rsidRPr="00AE38CA">
        <w:rPr>
          <w:rFonts w:ascii="Verdana" w:hAnsi="Verdana"/>
          <w:bCs/>
          <w:sz w:val="20"/>
          <w:lang w:val="nl-NL"/>
        </w:rPr>
        <w:t xml:space="preserve"> Rotterdam</w:t>
      </w:r>
      <w:r w:rsidRPr="00AE38CA">
        <w:rPr>
          <w:rFonts w:ascii="Verdana" w:hAnsi="Verdana"/>
          <w:bCs/>
          <w:sz w:val="20"/>
          <w:lang w:val="nl-NL"/>
        </w:rPr>
        <w:t>,</w:t>
      </w:r>
      <w:r w:rsidRPr="00AE38CA">
        <w:rPr>
          <w:rFonts w:ascii="Verdana" w:hAnsi="Verdana"/>
          <w:sz w:val="20"/>
          <w:lang w:val="nl-NL"/>
        </w:rPr>
        <w:t xml:space="preserve"> 2018</w:t>
      </w:r>
    </w:p>
    <w:p w14:paraId="1B508092" w14:textId="62C85DC8"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RIVM Loketgezondleven.nl, </w:t>
      </w:r>
      <w:r w:rsidRPr="00AE38CA">
        <w:rPr>
          <w:rFonts w:ascii="Verdana" w:hAnsi="Verdana"/>
          <w:i/>
          <w:sz w:val="20"/>
          <w:lang w:val="nl-NL"/>
        </w:rPr>
        <w:t>Interventieoverzicht lage SES</w:t>
      </w:r>
      <w:r w:rsidRPr="00AE38CA">
        <w:rPr>
          <w:rFonts w:ascii="Verdana" w:hAnsi="Verdana"/>
          <w:sz w:val="20"/>
          <w:lang w:val="nl-NL"/>
        </w:rPr>
        <w:t xml:space="preserve">, Loketgezondleven.nl, </w:t>
      </w:r>
      <w:proofErr w:type="spellStart"/>
      <w:r w:rsidRPr="00AE38CA">
        <w:rPr>
          <w:rFonts w:ascii="Verdana" w:hAnsi="Verdana"/>
          <w:sz w:val="20"/>
          <w:lang w:val="nl-NL"/>
        </w:rPr>
        <w:t>n.d</w:t>
      </w:r>
      <w:proofErr w:type="spellEnd"/>
      <w:r w:rsidRPr="00AE38CA">
        <w:rPr>
          <w:rFonts w:ascii="Verdana" w:hAnsi="Verdana"/>
          <w:sz w:val="20"/>
          <w:lang w:val="nl-NL"/>
        </w:rPr>
        <w:t>.,</w:t>
      </w:r>
      <w:r w:rsidR="0020345C" w:rsidRPr="00AE38CA">
        <w:rPr>
          <w:rFonts w:ascii="Verdana" w:hAnsi="Verdana"/>
          <w:sz w:val="20"/>
          <w:lang w:val="nl-NL"/>
        </w:rPr>
        <w:t xml:space="preserve">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Pr="00AE38CA">
        <w:rPr>
          <w:rFonts w:ascii="Verdana" w:hAnsi="Verdana"/>
          <w:sz w:val="20"/>
          <w:lang w:val="nl-NL"/>
        </w:rPr>
        <w:t xml:space="preserve"> </w:t>
      </w:r>
      <w:hyperlink r:id="rId68" w:history="1">
        <w:r w:rsidR="0065387B" w:rsidRPr="00AE38CA">
          <w:rPr>
            <w:rStyle w:val="Hyperlink"/>
            <w:rFonts w:ascii="Verdana" w:hAnsi="Verdana"/>
            <w:sz w:val="20"/>
            <w:lang w:val="nl-NL"/>
          </w:rPr>
          <w:t>https://tinyurl.com/y3mk7mcb</w:t>
        </w:r>
      </w:hyperlink>
      <w:r w:rsidR="0065387B" w:rsidRPr="00AE38CA">
        <w:rPr>
          <w:rFonts w:ascii="Verdana" w:hAnsi="Verdana"/>
          <w:sz w:val="20"/>
          <w:lang w:val="nl-NL"/>
        </w:rPr>
        <w:t xml:space="preserve"> </w:t>
      </w:r>
    </w:p>
    <w:p w14:paraId="7A611C3B" w14:textId="2EC02694"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RIVM Rijksinstituut voor Volksgezondheid en Milieu [National Institute of Public Health and Environment] , </w:t>
      </w:r>
      <w:r w:rsidRPr="00AE38CA">
        <w:rPr>
          <w:rFonts w:ascii="Verdana" w:hAnsi="Verdana"/>
          <w:i/>
          <w:sz w:val="20"/>
        </w:rPr>
        <w:t>Census surveys and screenings</w:t>
      </w:r>
      <w:r w:rsidRPr="00AE38CA">
        <w:rPr>
          <w:rFonts w:ascii="Verdana" w:hAnsi="Verdana"/>
          <w:sz w:val="20"/>
        </w:rPr>
        <w:t>, RIVM, Bilthoven, 2018, retrieved from</w:t>
      </w:r>
      <w:r w:rsidR="0065387B" w:rsidRPr="00AE38CA">
        <w:rPr>
          <w:rFonts w:ascii="Verdana" w:hAnsi="Verdana"/>
          <w:sz w:val="20"/>
        </w:rPr>
        <w:t>:</w:t>
      </w:r>
      <w:r w:rsidRPr="00AE38CA">
        <w:rPr>
          <w:rFonts w:ascii="Verdana" w:hAnsi="Verdana"/>
          <w:sz w:val="20"/>
        </w:rPr>
        <w:t xml:space="preserve"> </w:t>
      </w:r>
      <w:hyperlink r:id="rId69" w:history="1">
        <w:r w:rsidR="00A0538B" w:rsidRPr="00AE38CA">
          <w:rPr>
            <w:rStyle w:val="Hyperlink"/>
            <w:rFonts w:ascii="Verdana" w:hAnsi="Verdana"/>
            <w:sz w:val="20"/>
          </w:rPr>
          <w:t>https://tinyurl.com/y4dz8ccu</w:t>
        </w:r>
      </w:hyperlink>
      <w:r w:rsidR="00A0538B" w:rsidRPr="00AE38CA">
        <w:rPr>
          <w:rFonts w:ascii="Verdana" w:hAnsi="Verdana"/>
          <w:sz w:val="20"/>
        </w:rPr>
        <w:t xml:space="preserve"> </w:t>
      </w:r>
    </w:p>
    <w:p w14:paraId="5903B754" w14:textId="76A5619C" w:rsidR="00D91D3F" w:rsidRPr="00AE38CA" w:rsidRDefault="00D91D3F" w:rsidP="001965B0">
      <w:pPr>
        <w:numPr>
          <w:ilvl w:val="0"/>
          <w:numId w:val="37"/>
        </w:numPr>
        <w:spacing w:after="0"/>
        <w:rPr>
          <w:rFonts w:ascii="Verdana" w:hAnsi="Verdana"/>
          <w:sz w:val="20"/>
        </w:rPr>
      </w:pPr>
      <w:r w:rsidRPr="00AE38CA">
        <w:rPr>
          <w:rFonts w:ascii="Verdana" w:hAnsi="Verdana"/>
          <w:sz w:val="20"/>
          <w:lang w:val="nl-NL"/>
        </w:rPr>
        <w:t xml:space="preserve">Sociaal Economische Raad (SER), </w:t>
      </w:r>
      <w:r w:rsidRPr="00AE38CA">
        <w:rPr>
          <w:rFonts w:ascii="Verdana" w:hAnsi="Verdana"/>
          <w:i/>
          <w:sz w:val="20"/>
          <w:lang w:val="nl-NL"/>
        </w:rPr>
        <w:t>Opgroeien zonder armoede</w:t>
      </w:r>
      <w:r w:rsidRPr="00AE38CA">
        <w:rPr>
          <w:rFonts w:ascii="Verdana" w:hAnsi="Verdana"/>
          <w:sz w:val="20"/>
          <w:lang w:val="nl-NL"/>
        </w:rPr>
        <w:t xml:space="preserve"> [</w:t>
      </w:r>
      <w:proofErr w:type="spellStart"/>
      <w:r w:rsidRPr="00AE38CA">
        <w:rPr>
          <w:rFonts w:ascii="Verdana" w:hAnsi="Verdana"/>
          <w:sz w:val="20"/>
          <w:lang w:val="nl-NL"/>
        </w:rPr>
        <w:t>Growing</w:t>
      </w:r>
      <w:proofErr w:type="spellEnd"/>
      <w:r w:rsidRPr="00AE38CA">
        <w:rPr>
          <w:rFonts w:ascii="Verdana" w:hAnsi="Verdana"/>
          <w:sz w:val="20"/>
          <w:lang w:val="nl-NL"/>
        </w:rPr>
        <w:t xml:space="preserve"> up without </w:t>
      </w:r>
      <w:proofErr w:type="spellStart"/>
      <w:r w:rsidRPr="00AE38CA">
        <w:rPr>
          <w:rFonts w:ascii="Verdana" w:hAnsi="Verdana"/>
          <w:sz w:val="20"/>
          <w:lang w:val="nl-NL"/>
        </w:rPr>
        <w:t>poverty</w:t>
      </w:r>
      <w:proofErr w:type="spellEnd"/>
      <w:r w:rsidRPr="00AE38CA">
        <w:rPr>
          <w:rFonts w:ascii="Verdana" w:hAnsi="Verdana"/>
          <w:sz w:val="20"/>
          <w:lang w:val="nl-NL"/>
        </w:rPr>
        <w:t xml:space="preserve">]. </w:t>
      </w:r>
      <w:proofErr w:type="spellStart"/>
      <w:r w:rsidRPr="00AE38CA">
        <w:rPr>
          <w:rFonts w:ascii="Verdana" w:hAnsi="Verdana"/>
          <w:sz w:val="20"/>
        </w:rPr>
        <w:t>Sociaal</w:t>
      </w:r>
      <w:proofErr w:type="spellEnd"/>
      <w:r w:rsidRPr="00AE38CA">
        <w:rPr>
          <w:rFonts w:ascii="Verdana" w:hAnsi="Verdana"/>
          <w:sz w:val="20"/>
        </w:rPr>
        <w:t xml:space="preserve"> </w:t>
      </w:r>
      <w:proofErr w:type="spellStart"/>
      <w:r w:rsidRPr="00AE38CA">
        <w:rPr>
          <w:rFonts w:ascii="Verdana" w:hAnsi="Verdana"/>
          <w:sz w:val="20"/>
        </w:rPr>
        <w:t>Economische</w:t>
      </w:r>
      <w:proofErr w:type="spellEnd"/>
      <w:r w:rsidRPr="00AE38CA">
        <w:rPr>
          <w:rFonts w:ascii="Verdana" w:hAnsi="Verdana"/>
          <w:sz w:val="20"/>
        </w:rPr>
        <w:t xml:space="preserve"> </w:t>
      </w:r>
      <w:proofErr w:type="spellStart"/>
      <w:r w:rsidRPr="00AE38CA">
        <w:rPr>
          <w:rFonts w:ascii="Verdana" w:hAnsi="Verdana"/>
          <w:sz w:val="20"/>
        </w:rPr>
        <w:t>Raad</w:t>
      </w:r>
      <w:proofErr w:type="spellEnd"/>
      <w:r w:rsidRPr="00AE38CA">
        <w:rPr>
          <w:rFonts w:ascii="Verdana" w:hAnsi="Verdana"/>
          <w:sz w:val="20"/>
        </w:rPr>
        <w:t>: Den Haag, 2017.</w:t>
      </w:r>
    </w:p>
    <w:p w14:paraId="009EE49C" w14:textId="6AB4F4A9" w:rsidR="00B74D84" w:rsidRPr="00AE38CA" w:rsidRDefault="003F5D06" w:rsidP="001965B0">
      <w:pPr>
        <w:numPr>
          <w:ilvl w:val="0"/>
          <w:numId w:val="37"/>
        </w:numPr>
        <w:spacing w:after="0"/>
        <w:rPr>
          <w:rFonts w:ascii="Verdana" w:hAnsi="Verdana"/>
          <w:sz w:val="20"/>
        </w:rPr>
      </w:pPr>
      <w:proofErr w:type="spellStart"/>
      <w:r w:rsidRPr="00AE38CA">
        <w:rPr>
          <w:rFonts w:ascii="Verdana" w:hAnsi="Verdana"/>
          <w:sz w:val="20"/>
        </w:rPr>
        <w:t>Staatsblad</w:t>
      </w:r>
      <w:proofErr w:type="spellEnd"/>
      <w:r w:rsidRPr="00AE38CA">
        <w:rPr>
          <w:rFonts w:ascii="Verdana" w:hAnsi="Verdana"/>
          <w:sz w:val="20"/>
        </w:rPr>
        <w:t xml:space="preserve"> 2014, nr. 105</w:t>
      </w:r>
    </w:p>
    <w:p w14:paraId="270A2630" w14:textId="3F980771" w:rsidR="001D54C2" w:rsidRPr="00AE38CA" w:rsidRDefault="001D54C2" w:rsidP="001965B0">
      <w:pPr>
        <w:numPr>
          <w:ilvl w:val="0"/>
          <w:numId w:val="37"/>
        </w:numPr>
        <w:spacing w:after="0"/>
        <w:rPr>
          <w:rFonts w:ascii="Verdana" w:hAnsi="Verdana"/>
          <w:sz w:val="20"/>
          <w:lang w:val="nl-NL"/>
        </w:rPr>
      </w:pPr>
      <w:r w:rsidRPr="00AE38CA">
        <w:rPr>
          <w:rFonts w:ascii="Verdana" w:hAnsi="Verdana"/>
          <w:sz w:val="20"/>
          <w:lang w:val="nl-NL"/>
        </w:rPr>
        <w:t>SZW</w:t>
      </w:r>
      <w:r w:rsidR="00BA3399" w:rsidRPr="00AE38CA">
        <w:rPr>
          <w:rFonts w:ascii="Verdana" w:hAnsi="Verdana"/>
          <w:sz w:val="20"/>
          <w:lang w:val="nl-NL"/>
        </w:rPr>
        <w:t xml:space="preserve"> </w:t>
      </w:r>
      <w:r w:rsidR="00730E7B" w:rsidRPr="00AE38CA">
        <w:rPr>
          <w:rFonts w:ascii="Verdana" w:hAnsi="Verdana"/>
          <w:sz w:val="20"/>
          <w:lang w:val="nl-NL"/>
        </w:rPr>
        <w:t>[</w:t>
      </w:r>
      <w:proofErr w:type="spellStart"/>
      <w:r w:rsidR="00730E7B" w:rsidRPr="00AE38CA">
        <w:rPr>
          <w:rFonts w:ascii="Verdana" w:hAnsi="Verdana"/>
          <w:sz w:val="20"/>
          <w:lang w:val="nl-NL"/>
        </w:rPr>
        <w:t>Ministry</w:t>
      </w:r>
      <w:proofErr w:type="spellEnd"/>
      <w:r w:rsidR="00730E7B" w:rsidRPr="00AE38CA">
        <w:rPr>
          <w:rFonts w:ascii="Verdana" w:hAnsi="Verdana"/>
          <w:sz w:val="20"/>
          <w:lang w:val="nl-NL"/>
        </w:rPr>
        <w:t xml:space="preserve"> of </w:t>
      </w:r>
      <w:proofErr w:type="spellStart"/>
      <w:r w:rsidR="00730E7B" w:rsidRPr="00AE38CA">
        <w:rPr>
          <w:rFonts w:ascii="Verdana" w:hAnsi="Verdana"/>
          <w:sz w:val="20"/>
          <w:lang w:val="nl-NL"/>
        </w:rPr>
        <w:t>Social</w:t>
      </w:r>
      <w:proofErr w:type="spellEnd"/>
      <w:r w:rsidR="00730E7B" w:rsidRPr="00AE38CA">
        <w:rPr>
          <w:rFonts w:ascii="Verdana" w:hAnsi="Verdana"/>
          <w:sz w:val="20"/>
          <w:lang w:val="nl-NL"/>
        </w:rPr>
        <w:t xml:space="preserve"> </w:t>
      </w:r>
      <w:proofErr w:type="spellStart"/>
      <w:r w:rsidR="00730E7B" w:rsidRPr="00AE38CA">
        <w:rPr>
          <w:rFonts w:ascii="Verdana" w:hAnsi="Verdana"/>
          <w:sz w:val="20"/>
          <w:lang w:val="nl-NL"/>
        </w:rPr>
        <w:t>Affairs</w:t>
      </w:r>
      <w:proofErr w:type="spellEnd"/>
      <w:r w:rsidR="00730E7B" w:rsidRPr="00AE38CA">
        <w:rPr>
          <w:rFonts w:ascii="Verdana" w:hAnsi="Verdana"/>
          <w:sz w:val="20"/>
          <w:lang w:val="nl-NL"/>
        </w:rPr>
        <w:t xml:space="preserve"> </w:t>
      </w:r>
      <w:proofErr w:type="spellStart"/>
      <w:r w:rsidR="00730E7B" w:rsidRPr="00AE38CA">
        <w:rPr>
          <w:rFonts w:ascii="Verdana" w:hAnsi="Verdana"/>
          <w:sz w:val="20"/>
          <w:lang w:val="nl-NL"/>
        </w:rPr>
        <w:t>and</w:t>
      </w:r>
      <w:proofErr w:type="spellEnd"/>
      <w:r w:rsidR="00730E7B" w:rsidRPr="00AE38CA">
        <w:rPr>
          <w:rFonts w:ascii="Verdana" w:hAnsi="Verdana"/>
          <w:sz w:val="20"/>
          <w:lang w:val="nl-NL"/>
        </w:rPr>
        <w:t xml:space="preserve">  </w:t>
      </w:r>
      <w:proofErr w:type="spellStart"/>
      <w:r w:rsidR="00730E7B" w:rsidRPr="00AE38CA">
        <w:rPr>
          <w:rFonts w:ascii="Verdana" w:hAnsi="Verdana"/>
          <w:sz w:val="20"/>
          <w:lang w:val="nl-NL"/>
        </w:rPr>
        <w:t>Employment</w:t>
      </w:r>
      <w:proofErr w:type="spellEnd"/>
      <w:r w:rsidRPr="00AE38CA">
        <w:rPr>
          <w:rFonts w:ascii="Verdana" w:hAnsi="Verdana"/>
          <w:sz w:val="20"/>
          <w:lang w:val="nl-NL"/>
        </w:rPr>
        <w:t xml:space="preserve">, </w:t>
      </w:r>
      <w:r w:rsidRPr="00AE38CA">
        <w:rPr>
          <w:rFonts w:ascii="Verdana" w:hAnsi="Verdana"/>
          <w:i/>
          <w:sz w:val="20"/>
          <w:lang w:val="nl-NL"/>
        </w:rPr>
        <w:t>Kamerbrief VIA-Voortgangsrapportage, vierde kwartaal 2018</w:t>
      </w:r>
      <w:r w:rsidRPr="00AE38CA">
        <w:rPr>
          <w:rFonts w:ascii="Verdana" w:hAnsi="Verdana"/>
          <w:sz w:val="20"/>
          <w:lang w:val="nl-NL"/>
        </w:rPr>
        <w:t>, Den Haag, 16 november 2018.</w:t>
      </w:r>
    </w:p>
    <w:p w14:paraId="7E9CE701" w14:textId="338B433A"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SVB </w:t>
      </w:r>
      <w:proofErr w:type="spellStart"/>
      <w:r w:rsidRPr="00AE38CA">
        <w:rPr>
          <w:rFonts w:ascii="Verdana" w:hAnsi="Verdana"/>
          <w:sz w:val="20"/>
        </w:rPr>
        <w:t>Sociale</w:t>
      </w:r>
      <w:proofErr w:type="spellEnd"/>
      <w:r w:rsidRPr="00AE38CA">
        <w:rPr>
          <w:rFonts w:ascii="Verdana" w:hAnsi="Verdana"/>
          <w:sz w:val="20"/>
        </w:rPr>
        <w:t xml:space="preserve"> </w:t>
      </w:r>
      <w:proofErr w:type="spellStart"/>
      <w:r w:rsidRPr="00AE38CA">
        <w:rPr>
          <w:rFonts w:ascii="Verdana" w:hAnsi="Verdana"/>
          <w:sz w:val="20"/>
        </w:rPr>
        <w:t>Verzekeringsbank</w:t>
      </w:r>
      <w:proofErr w:type="spellEnd"/>
      <w:r w:rsidRPr="00AE38CA">
        <w:rPr>
          <w:rFonts w:ascii="Verdana" w:hAnsi="Verdana"/>
          <w:sz w:val="20"/>
        </w:rPr>
        <w:t xml:space="preserve">, </w:t>
      </w:r>
      <w:r w:rsidRPr="00AE38CA">
        <w:rPr>
          <w:rFonts w:ascii="Verdana" w:hAnsi="Verdana"/>
          <w:i/>
          <w:sz w:val="20"/>
        </w:rPr>
        <w:t>Child Benefit Home</w:t>
      </w:r>
      <w:r w:rsidRPr="00AE38CA">
        <w:rPr>
          <w:rFonts w:ascii="Verdana" w:hAnsi="Verdana"/>
          <w:sz w:val="20"/>
        </w:rPr>
        <w:t xml:space="preserve">, n.d., retrieved from </w:t>
      </w:r>
      <w:hyperlink r:id="rId70" w:history="1">
        <w:r w:rsidR="00A05B62" w:rsidRPr="00AE38CA">
          <w:rPr>
            <w:rStyle w:val="Hyperlink"/>
            <w:rFonts w:ascii="Verdana" w:hAnsi="Verdana"/>
            <w:sz w:val="20"/>
          </w:rPr>
          <w:t>https://www.svb.nl/int/en/kinderbijslag/index.jsp</w:t>
        </w:r>
      </w:hyperlink>
      <w:r w:rsidR="00A05B62" w:rsidRPr="00AE38CA">
        <w:rPr>
          <w:rFonts w:ascii="Verdana" w:hAnsi="Verdana"/>
          <w:sz w:val="20"/>
        </w:rPr>
        <w:t xml:space="preserve"> </w:t>
      </w:r>
    </w:p>
    <w:p w14:paraId="70A298D4" w14:textId="40B1DB92" w:rsidR="00B74D84" w:rsidRPr="00AE38CA" w:rsidRDefault="00B74D84" w:rsidP="001965B0">
      <w:pPr>
        <w:numPr>
          <w:ilvl w:val="0"/>
          <w:numId w:val="37"/>
        </w:numPr>
        <w:spacing w:after="0"/>
        <w:rPr>
          <w:rFonts w:ascii="Verdana" w:hAnsi="Verdana"/>
          <w:sz w:val="20"/>
        </w:rPr>
      </w:pPr>
      <w:proofErr w:type="spellStart"/>
      <w:r w:rsidRPr="00AE38CA">
        <w:rPr>
          <w:rFonts w:ascii="Verdana" w:hAnsi="Verdana"/>
          <w:sz w:val="20"/>
        </w:rPr>
        <w:t>Tierolf</w:t>
      </w:r>
      <w:proofErr w:type="spellEnd"/>
      <w:r w:rsidRPr="00AE38CA">
        <w:rPr>
          <w:rFonts w:ascii="Verdana" w:hAnsi="Verdana"/>
          <w:sz w:val="20"/>
        </w:rPr>
        <w:t xml:space="preserve">, </w:t>
      </w:r>
      <w:r w:rsidR="00277836" w:rsidRPr="00AE38CA">
        <w:rPr>
          <w:rFonts w:ascii="Verdana" w:hAnsi="Verdana"/>
          <w:sz w:val="20"/>
        </w:rPr>
        <w:t xml:space="preserve">B., </w:t>
      </w:r>
      <w:proofErr w:type="spellStart"/>
      <w:r w:rsidR="00277836" w:rsidRPr="00AE38CA">
        <w:rPr>
          <w:rFonts w:ascii="Verdana" w:hAnsi="Verdana"/>
          <w:sz w:val="20"/>
        </w:rPr>
        <w:t>Gilsing</w:t>
      </w:r>
      <w:proofErr w:type="spellEnd"/>
      <w:r w:rsidR="00277836" w:rsidRPr="00AE38CA">
        <w:rPr>
          <w:rFonts w:ascii="Verdana" w:hAnsi="Verdana"/>
          <w:sz w:val="20"/>
        </w:rPr>
        <w:t xml:space="preserve">, R., </w:t>
      </w:r>
      <w:proofErr w:type="spellStart"/>
      <w:r w:rsidR="00A05DDB" w:rsidRPr="00AE38CA">
        <w:rPr>
          <w:rFonts w:ascii="Verdana" w:hAnsi="Verdana"/>
          <w:sz w:val="20"/>
        </w:rPr>
        <w:t>Steketee</w:t>
      </w:r>
      <w:proofErr w:type="spellEnd"/>
      <w:r w:rsidR="00A05DDB" w:rsidRPr="00AE38CA">
        <w:rPr>
          <w:rFonts w:ascii="Verdana" w:hAnsi="Verdana"/>
          <w:sz w:val="20"/>
        </w:rPr>
        <w:t xml:space="preserve">, M., </w:t>
      </w:r>
      <w:proofErr w:type="spellStart"/>
      <w:r w:rsidR="0029148F" w:rsidRPr="00AE38CA">
        <w:rPr>
          <w:rFonts w:ascii="Verdana" w:hAnsi="Verdana"/>
          <w:i/>
          <w:sz w:val="20"/>
        </w:rPr>
        <w:t>Kinderen</w:t>
      </w:r>
      <w:proofErr w:type="spellEnd"/>
      <w:r w:rsidR="0029148F" w:rsidRPr="00AE38CA">
        <w:rPr>
          <w:rFonts w:ascii="Verdana" w:hAnsi="Verdana"/>
          <w:i/>
          <w:sz w:val="20"/>
        </w:rPr>
        <w:t xml:space="preserve"> in Tel </w:t>
      </w:r>
      <w:proofErr w:type="spellStart"/>
      <w:r w:rsidR="0029148F" w:rsidRPr="00AE38CA">
        <w:rPr>
          <w:rFonts w:ascii="Verdana" w:hAnsi="Verdana"/>
          <w:i/>
          <w:sz w:val="20"/>
        </w:rPr>
        <w:t>Data</w:t>
      </w:r>
      <w:r w:rsidR="00C62BE4" w:rsidRPr="00AE38CA">
        <w:rPr>
          <w:rFonts w:ascii="Verdana" w:hAnsi="Verdana"/>
          <w:i/>
          <w:sz w:val="20"/>
        </w:rPr>
        <w:t>boek</w:t>
      </w:r>
      <w:proofErr w:type="spellEnd"/>
      <w:r w:rsidR="00C62BE4" w:rsidRPr="00AE38CA">
        <w:rPr>
          <w:rFonts w:ascii="Verdana" w:hAnsi="Verdana"/>
          <w:i/>
          <w:sz w:val="20"/>
        </w:rPr>
        <w:t xml:space="preserve"> 2016</w:t>
      </w:r>
      <w:r w:rsidR="00FF3216" w:rsidRPr="00AE38CA">
        <w:rPr>
          <w:rFonts w:ascii="Verdana" w:hAnsi="Verdana"/>
          <w:i/>
          <w:sz w:val="20"/>
        </w:rPr>
        <w:t xml:space="preserve">, </w:t>
      </w:r>
      <w:r w:rsidR="00742D5D" w:rsidRPr="00AE38CA">
        <w:rPr>
          <w:rFonts w:ascii="Verdana" w:hAnsi="Verdana"/>
          <w:sz w:val="20"/>
        </w:rPr>
        <w:t>Defence for Childre</w:t>
      </w:r>
      <w:r w:rsidR="001C2FD3" w:rsidRPr="00AE38CA">
        <w:rPr>
          <w:rFonts w:ascii="Verdana" w:hAnsi="Verdana"/>
          <w:sz w:val="20"/>
        </w:rPr>
        <w:t>n</w:t>
      </w:r>
      <w:r w:rsidR="00742D5D" w:rsidRPr="00AE38CA">
        <w:rPr>
          <w:rFonts w:ascii="Verdana" w:hAnsi="Verdana"/>
          <w:sz w:val="20"/>
        </w:rPr>
        <w:t xml:space="preserve">, NSGK, Bernard van Leer Foundation, </w:t>
      </w:r>
      <w:proofErr w:type="spellStart"/>
      <w:r w:rsidR="00742D5D" w:rsidRPr="00AE38CA">
        <w:rPr>
          <w:rFonts w:ascii="Verdana" w:hAnsi="Verdana"/>
          <w:sz w:val="20"/>
        </w:rPr>
        <w:t>Kansfond</w:t>
      </w:r>
      <w:r w:rsidR="00754130" w:rsidRPr="00AE38CA">
        <w:rPr>
          <w:rFonts w:ascii="Verdana" w:hAnsi="Verdana"/>
          <w:sz w:val="20"/>
        </w:rPr>
        <w:t>s</w:t>
      </w:r>
      <w:proofErr w:type="spellEnd"/>
      <w:r w:rsidR="00742D5D" w:rsidRPr="00AE38CA">
        <w:rPr>
          <w:rFonts w:ascii="Verdana" w:hAnsi="Verdana"/>
          <w:sz w:val="20"/>
        </w:rPr>
        <w:t xml:space="preserve">, Verwey Jonker </w:t>
      </w:r>
      <w:proofErr w:type="spellStart"/>
      <w:r w:rsidR="00742D5D" w:rsidRPr="00AE38CA">
        <w:rPr>
          <w:rFonts w:ascii="Verdana" w:hAnsi="Verdana"/>
          <w:sz w:val="20"/>
        </w:rPr>
        <w:t>instituut</w:t>
      </w:r>
      <w:proofErr w:type="spellEnd"/>
      <w:r w:rsidR="00754130" w:rsidRPr="00AE38CA">
        <w:rPr>
          <w:rFonts w:ascii="Verdana" w:hAnsi="Verdana"/>
          <w:sz w:val="20"/>
        </w:rPr>
        <w:t>, 2016</w:t>
      </w:r>
      <w:r w:rsidR="00D70742" w:rsidRPr="00AE38CA">
        <w:rPr>
          <w:rFonts w:ascii="Verdana" w:hAnsi="Verdana"/>
          <w:sz w:val="20"/>
        </w:rPr>
        <w:t xml:space="preserve">, retrieved from: </w:t>
      </w:r>
      <w:hyperlink r:id="rId71" w:history="1">
        <w:r w:rsidR="001C2FD3" w:rsidRPr="00AE38CA">
          <w:rPr>
            <w:rStyle w:val="Hyperlink"/>
            <w:rFonts w:ascii="Verdana" w:hAnsi="Verdana"/>
            <w:sz w:val="20"/>
          </w:rPr>
          <w:t>http://www.kinderenintel.nl/</w:t>
        </w:r>
      </w:hyperlink>
    </w:p>
    <w:p w14:paraId="64571B3B" w14:textId="77E03D75"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TIMSS &amp; PIRLS International Study Center, </w:t>
      </w:r>
      <w:r w:rsidRPr="00AE38CA">
        <w:rPr>
          <w:rFonts w:ascii="Verdana" w:hAnsi="Verdana"/>
          <w:i/>
          <w:sz w:val="20"/>
        </w:rPr>
        <w:t>Netherlands: Overview of Education System</w:t>
      </w:r>
      <w:r w:rsidRPr="00AE38CA">
        <w:rPr>
          <w:rFonts w:ascii="Verdana" w:hAnsi="Verdana"/>
          <w:sz w:val="20"/>
        </w:rPr>
        <w:t xml:space="preserve">, 2016, retrieved from: </w:t>
      </w:r>
      <w:hyperlink r:id="rId72" w:history="1">
        <w:r w:rsidR="009652E5" w:rsidRPr="00AE38CA">
          <w:rPr>
            <w:rStyle w:val="Hyperlink"/>
            <w:rFonts w:ascii="Verdana" w:hAnsi="Verdana"/>
            <w:sz w:val="20"/>
          </w:rPr>
          <w:t>https://tinyurl.com/y3bddtuu</w:t>
        </w:r>
      </w:hyperlink>
      <w:r w:rsidR="009652E5" w:rsidRPr="00AE38CA">
        <w:rPr>
          <w:rFonts w:ascii="Verdana" w:hAnsi="Verdana"/>
          <w:sz w:val="20"/>
        </w:rPr>
        <w:t xml:space="preserve"> </w:t>
      </w:r>
    </w:p>
    <w:p w14:paraId="0FCD6BA4" w14:textId="6CFBA5BB" w:rsidR="005F42B2" w:rsidRPr="00AE38CA" w:rsidRDefault="005F42B2" w:rsidP="001965B0">
      <w:pPr>
        <w:numPr>
          <w:ilvl w:val="0"/>
          <w:numId w:val="37"/>
        </w:numPr>
        <w:spacing w:after="0"/>
        <w:rPr>
          <w:rFonts w:ascii="Verdana" w:hAnsi="Verdana"/>
          <w:sz w:val="20"/>
        </w:rPr>
      </w:pPr>
      <w:r w:rsidRPr="00AE38CA">
        <w:rPr>
          <w:rFonts w:ascii="Verdana" w:hAnsi="Verdana"/>
          <w:sz w:val="20"/>
          <w:lang w:bidi="en-GB"/>
        </w:rPr>
        <w:t>UNCRC</w:t>
      </w:r>
      <w:r w:rsidR="007835AB" w:rsidRPr="00AE38CA">
        <w:rPr>
          <w:rFonts w:ascii="Verdana" w:hAnsi="Verdana"/>
          <w:sz w:val="20"/>
          <w:lang w:bidi="en-GB"/>
        </w:rPr>
        <w:t>,</w:t>
      </w:r>
      <w:r w:rsidRPr="00AE38CA">
        <w:rPr>
          <w:rFonts w:ascii="Verdana" w:hAnsi="Verdana"/>
          <w:sz w:val="20"/>
          <w:lang w:bidi="en-GB"/>
        </w:rPr>
        <w:t xml:space="preserve"> </w:t>
      </w:r>
      <w:r w:rsidR="008F47AC" w:rsidRPr="00AE38CA">
        <w:rPr>
          <w:rFonts w:ascii="Verdana" w:hAnsi="Verdana"/>
          <w:i/>
          <w:sz w:val="20"/>
          <w:lang w:bidi="en-GB"/>
        </w:rPr>
        <w:t>Consideration of reports submitted by States parties under article 44 of the Convention; Fourth periodic reports of States parties due in 2012, The Netherlands</w:t>
      </w:r>
      <w:r w:rsidR="007835AB" w:rsidRPr="00AE38CA">
        <w:rPr>
          <w:rFonts w:ascii="Verdana" w:hAnsi="Verdana"/>
          <w:sz w:val="20"/>
          <w:lang w:bidi="en-GB"/>
        </w:rPr>
        <w:t>, 2014</w:t>
      </w:r>
    </w:p>
    <w:p w14:paraId="4A0DA24A" w14:textId="7BC35629" w:rsidR="00616092" w:rsidRPr="00AE38CA" w:rsidRDefault="00A46852" w:rsidP="001965B0">
      <w:pPr>
        <w:numPr>
          <w:ilvl w:val="0"/>
          <w:numId w:val="37"/>
        </w:numPr>
        <w:spacing w:after="0"/>
        <w:rPr>
          <w:rFonts w:ascii="Verdana" w:hAnsi="Verdana"/>
          <w:sz w:val="20"/>
        </w:rPr>
      </w:pPr>
      <w:r w:rsidRPr="00AE38CA">
        <w:rPr>
          <w:rFonts w:ascii="Verdana" w:hAnsi="Verdana"/>
          <w:sz w:val="20"/>
        </w:rPr>
        <w:t xml:space="preserve">UN General Assembly, </w:t>
      </w:r>
      <w:r w:rsidRPr="00AE38CA">
        <w:rPr>
          <w:rFonts w:ascii="Verdana" w:hAnsi="Verdana"/>
          <w:i/>
          <w:sz w:val="20"/>
        </w:rPr>
        <w:t>Convention on the Rights of Persons with Disabilities</w:t>
      </w:r>
      <w:r w:rsidR="00616092" w:rsidRPr="00AE38CA">
        <w:rPr>
          <w:rFonts w:ascii="Verdana" w:hAnsi="Verdana"/>
          <w:sz w:val="20"/>
        </w:rPr>
        <w:t>,</w:t>
      </w:r>
      <w:r w:rsidRPr="00AE38CA">
        <w:rPr>
          <w:rFonts w:ascii="Verdana" w:hAnsi="Verdana"/>
          <w:sz w:val="20"/>
        </w:rPr>
        <w:t xml:space="preserve"> resolution / adopted by the General Assembly, 2007</w:t>
      </w:r>
    </w:p>
    <w:p w14:paraId="67D3C09D" w14:textId="63F01431"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Van Dam, M. &amp; Schippers, E.I., </w:t>
      </w:r>
      <w:r w:rsidRPr="00AE38CA">
        <w:rPr>
          <w:rFonts w:ascii="Verdana" w:hAnsi="Verdana"/>
          <w:i/>
          <w:sz w:val="20"/>
        </w:rPr>
        <w:t>Progression Food agenda for safe, healthy and sustainable nutrition</w:t>
      </w:r>
      <w:r w:rsidRPr="00AE38CA">
        <w:rPr>
          <w:rFonts w:ascii="Verdana" w:hAnsi="Verdana"/>
          <w:sz w:val="20"/>
        </w:rPr>
        <w:t xml:space="preserve"> [Letter to Second Chamber], Ministry of Economic Affairs, Den Hague, 2016</w:t>
      </w:r>
    </w:p>
    <w:p w14:paraId="419145BD"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Van Waveren, B., De Vaan, K., Krop, M., et al., </w:t>
      </w:r>
      <w:r w:rsidRPr="00AE38CA">
        <w:rPr>
          <w:rFonts w:ascii="Verdana" w:hAnsi="Verdana"/>
          <w:i/>
          <w:sz w:val="20"/>
        </w:rPr>
        <w:t>ESPN Country Profile, The Netherlands, 2017 – 2018</w:t>
      </w:r>
      <w:r w:rsidRPr="00AE38CA">
        <w:rPr>
          <w:rFonts w:ascii="Verdana" w:hAnsi="Verdana"/>
          <w:sz w:val="20"/>
        </w:rPr>
        <w:t>, European Union, Brussels, 2018.</w:t>
      </w:r>
    </w:p>
    <w:p w14:paraId="7D2D436A" w14:textId="5D1C44A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Vereniging van Nederlandse Voedselbanken, </w:t>
      </w:r>
      <w:r w:rsidRPr="00AE38CA">
        <w:rPr>
          <w:rFonts w:ascii="Verdana" w:hAnsi="Verdana"/>
          <w:i/>
          <w:sz w:val="20"/>
        </w:rPr>
        <w:t>Facts and Figures Foodbanks Netherlands</w:t>
      </w:r>
      <w:r w:rsidRPr="00AE38CA">
        <w:rPr>
          <w:rFonts w:ascii="Verdana" w:hAnsi="Verdana"/>
          <w:sz w:val="20"/>
        </w:rPr>
        <w:t>, 2018</w:t>
      </w:r>
      <w:r w:rsidR="007F433F" w:rsidRPr="00AE38CA">
        <w:rPr>
          <w:rFonts w:ascii="Verdana" w:hAnsi="Verdana"/>
          <w:sz w:val="20"/>
        </w:rPr>
        <w:t>,</w:t>
      </w:r>
      <w:r w:rsidRPr="00AE38CA">
        <w:rPr>
          <w:rFonts w:ascii="Verdana" w:hAnsi="Verdana"/>
          <w:sz w:val="20"/>
        </w:rPr>
        <w:t xml:space="preserve"> retrieved from</w:t>
      </w:r>
      <w:r w:rsidR="007F433F" w:rsidRPr="00AE38CA">
        <w:rPr>
          <w:rFonts w:ascii="Verdana" w:hAnsi="Verdana"/>
          <w:sz w:val="20"/>
        </w:rPr>
        <w:t xml:space="preserve">: </w:t>
      </w:r>
      <w:r w:rsidRPr="00AE38CA">
        <w:rPr>
          <w:rFonts w:ascii="Verdana" w:hAnsi="Verdana"/>
          <w:sz w:val="20"/>
        </w:rPr>
        <w:t xml:space="preserve"> </w:t>
      </w:r>
      <w:hyperlink r:id="rId73" w:history="1">
        <w:r w:rsidR="007F433F" w:rsidRPr="00AE38CA">
          <w:rPr>
            <w:rStyle w:val="Hyperlink"/>
            <w:rFonts w:ascii="Verdana" w:hAnsi="Verdana"/>
            <w:sz w:val="20"/>
          </w:rPr>
          <w:t>https://tinyurl.com/y52ap9gu</w:t>
        </w:r>
      </w:hyperlink>
      <w:r w:rsidR="007F433F" w:rsidRPr="00AE38CA">
        <w:rPr>
          <w:rFonts w:ascii="Verdana" w:hAnsi="Verdana"/>
          <w:sz w:val="20"/>
        </w:rPr>
        <w:t xml:space="preserve"> </w:t>
      </w:r>
    </w:p>
    <w:p w14:paraId="4C803EF4"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VWS [Ministry of Public Health, Welfare and Sport], </w:t>
      </w:r>
      <w:r w:rsidRPr="00AE38CA">
        <w:rPr>
          <w:rFonts w:ascii="Verdana" w:hAnsi="Verdana"/>
          <w:i/>
          <w:sz w:val="20"/>
        </w:rPr>
        <w:t>Healthcare in the Netherlands</w:t>
      </w:r>
      <w:r w:rsidRPr="00AE38CA">
        <w:rPr>
          <w:rFonts w:ascii="Verdana" w:hAnsi="Verdana"/>
          <w:sz w:val="20"/>
        </w:rPr>
        <w:t>, Ministry of Public Health, Welfare and Sport, The Hague, 2016.</w:t>
      </w:r>
    </w:p>
    <w:p w14:paraId="6EFC03CF" w14:textId="77777777" w:rsidR="00D91D3F" w:rsidRPr="00AE38CA" w:rsidRDefault="00D91D3F" w:rsidP="001965B0">
      <w:pPr>
        <w:numPr>
          <w:ilvl w:val="0"/>
          <w:numId w:val="37"/>
        </w:numPr>
        <w:spacing w:after="0"/>
        <w:rPr>
          <w:rFonts w:ascii="Verdana" w:hAnsi="Verdana"/>
          <w:sz w:val="20"/>
        </w:rPr>
      </w:pPr>
      <w:r w:rsidRPr="00AE38CA">
        <w:rPr>
          <w:rFonts w:ascii="Verdana" w:hAnsi="Verdana"/>
          <w:sz w:val="20"/>
        </w:rPr>
        <w:t xml:space="preserve">VWS Ministry of Health, Welfare and Sport, </w:t>
      </w:r>
      <w:r w:rsidRPr="00AE38CA">
        <w:rPr>
          <w:rFonts w:ascii="Verdana" w:hAnsi="Verdana"/>
          <w:i/>
          <w:sz w:val="20"/>
        </w:rPr>
        <w:t>National Prevention Agreement</w:t>
      </w:r>
      <w:r w:rsidRPr="00AE38CA">
        <w:rPr>
          <w:rFonts w:ascii="Verdana" w:hAnsi="Verdana"/>
          <w:sz w:val="20"/>
        </w:rPr>
        <w:t>, Ministry of Health, Welfare and Sport, The Hague, 2018.</w:t>
      </w:r>
    </w:p>
    <w:p w14:paraId="552B0EFD" w14:textId="72344934" w:rsidR="00D91D3F" w:rsidRPr="00AE38CA" w:rsidRDefault="00D91D3F" w:rsidP="001965B0">
      <w:pPr>
        <w:numPr>
          <w:ilvl w:val="0"/>
          <w:numId w:val="37"/>
        </w:numPr>
        <w:spacing w:after="0"/>
        <w:rPr>
          <w:rFonts w:ascii="Verdana" w:hAnsi="Verdana"/>
          <w:sz w:val="20"/>
          <w:lang w:val="nl-NL"/>
        </w:rPr>
      </w:pPr>
      <w:r w:rsidRPr="00AE38CA">
        <w:rPr>
          <w:rFonts w:ascii="Verdana" w:hAnsi="Verdana"/>
          <w:sz w:val="20"/>
          <w:lang w:val="nl-NL"/>
        </w:rPr>
        <w:t xml:space="preserve">VWS </w:t>
      </w:r>
      <w:proofErr w:type="spellStart"/>
      <w:r w:rsidRPr="00AE38CA">
        <w:rPr>
          <w:rFonts w:ascii="Verdana" w:hAnsi="Verdana"/>
          <w:sz w:val="20"/>
          <w:lang w:val="nl-NL"/>
        </w:rPr>
        <w:t>Ministry</w:t>
      </w:r>
      <w:proofErr w:type="spellEnd"/>
      <w:r w:rsidRPr="00AE38CA">
        <w:rPr>
          <w:rFonts w:ascii="Verdana" w:hAnsi="Verdana"/>
          <w:sz w:val="20"/>
          <w:lang w:val="nl-NL"/>
        </w:rPr>
        <w:t xml:space="preserve"> of Public Health, Welfare </w:t>
      </w:r>
      <w:proofErr w:type="spellStart"/>
      <w:r w:rsidRPr="00AE38CA">
        <w:rPr>
          <w:rFonts w:ascii="Verdana" w:hAnsi="Verdana"/>
          <w:sz w:val="20"/>
          <w:lang w:val="nl-NL"/>
        </w:rPr>
        <w:t>and</w:t>
      </w:r>
      <w:proofErr w:type="spellEnd"/>
      <w:r w:rsidRPr="00AE38CA">
        <w:rPr>
          <w:rFonts w:ascii="Verdana" w:hAnsi="Verdana"/>
          <w:sz w:val="20"/>
          <w:lang w:val="nl-NL"/>
        </w:rPr>
        <w:t xml:space="preserve"> Sport, </w:t>
      </w:r>
      <w:r w:rsidRPr="00AE38CA">
        <w:rPr>
          <w:rFonts w:ascii="Verdana" w:hAnsi="Verdana"/>
          <w:i/>
          <w:sz w:val="20"/>
          <w:lang w:val="nl-NL"/>
        </w:rPr>
        <w:t>Wat gebeurt er als ik niet verzekerd ben voor de zorgverzekering?</w:t>
      </w:r>
      <w:r w:rsidRPr="00AE38CA">
        <w:rPr>
          <w:rFonts w:ascii="Verdana" w:hAnsi="Verdana"/>
          <w:sz w:val="20"/>
          <w:lang w:val="nl-NL"/>
        </w:rPr>
        <w:t>, Rijksoverheid, The Hague,</w:t>
      </w:r>
      <w:r w:rsidR="00B25A8B" w:rsidRPr="00AE38CA">
        <w:rPr>
          <w:rFonts w:ascii="Verdana" w:hAnsi="Verdana"/>
          <w:sz w:val="20"/>
          <w:lang w:val="nl-NL"/>
        </w:rPr>
        <w:t xml:space="preserve"> </w:t>
      </w:r>
      <w:proofErr w:type="spellStart"/>
      <w:r w:rsidR="00B25A8B" w:rsidRPr="00AE38CA">
        <w:rPr>
          <w:rFonts w:ascii="Verdana" w:hAnsi="Verdana"/>
          <w:sz w:val="20"/>
          <w:lang w:val="nl-NL"/>
        </w:rPr>
        <w:t>n.d</w:t>
      </w:r>
      <w:proofErr w:type="spellEnd"/>
      <w:r w:rsidR="00B25A8B" w:rsidRPr="00AE38CA">
        <w:rPr>
          <w:rFonts w:ascii="Verdana" w:hAnsi="Verdana"/>
          <w:sz w:val="20"/>
          <w:lang w:val="nl-NL"/>
        </w:rPr>
        <w:t>.,</w:t>
      </w:r>
      <w:r w:rsidRPr="00AE38CA">
        <w:rPr>
          <w:rFonts w:ascii="Verdana" w:hAnsi="Verdana"/>
          <w:sz w:val="20"/>
          <w:lang w:val="nl-NL"/>
        </w:rPr>
        <w:t xml:space="preserve">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00B25A8B" w:rsidRPr="00AE38CA">
        <w:rPr>
          <w:rFonts w:ascii="Verdana" w:hAnsi="Verdana"/>
          <w:sz w:val="20"/>
          <w:lang w:val="nl-NL"/>
        </w:rPr>
        <w:t>:</w:t>
      </w:r>
      <w:r w:rsidRPr="00AE38CA">
        <w:rPr>
          <w:rFonts w:ascii="Verdana" w:hAnsi="Verdana"/>
          <w:sz w:val="20"/>
          <w:lang w:val="nl-NL"/>
        </w:rPr>
        <w:t xml:space="preserve"> </w:t>
      </w:r>
      <w:hyperlink r:id="rId74" w:history="1">
        <w:r w:rsidR="005C1D44" w:rsidRPr="00AE38CA">
          <w:rPr>
            <w:rStyle w:val="Hyperlink"/>
            <w:rFonts w:ascii="Verdana" w:hAnsi="Verdana"/>
            <w:sz w:val="20"/>
            <w:lang w:val="nl-NL"/>
          </w:rPr>
          <w:t>https://tinyurl.com/yyt5pz3g</w:t>
        </w:r>
      </w:hyperlink>
      <w:r w:rsidR="005C1D44" w:rsidRPr="00AE38CA">
        <w:rPr>
          <w:rFonts w:ascii="Verdana" w:hAnsi="Verdana"/>
          <w:sz w:val="20"/>
          <w:lang w:val="nl-NL"/>
        </w:rPr>
        <w:t xml:space="preserve"> </w:t>
      </w:r>
    </w:p>
    <w:p w14:paraId="6FEAE43D" w14:textId="5714A93C" w:rsidR="00D91D3F" w:rsidRPr="00AE38CA" w:rsidRDefault="00D91D3F" w:rsidP="001965B0">
      <w:pPr>
        <w:numPr>
          <w:ilvl w:val="0"/>
          <w:numId w:val="37"/>
        </w:numPr>
        <w:spacing w:after="0"/>
        <w:rPr>
          <w:rFonts w:ascii="Verdana" w:hAnsi="Verdana"/>
          <w:sz w:val="20"/>
        </w:rPr>
      </w:pPr>
      <w:r w:rsidRPr="00AE38CA">
        <w:rPr>
          <w:rFonts w:ascii="Verdana" w:hAnsi="Verdana"/>
          <w:sz w:val="20"/>
        </w:rPr>
        <w:t>VWS/CAK</w:t>
      </w:r>
      <w:r w:rsidR="00D26631" w:rsidRPr="00AE38CA">
        <w:rPr>
          <w:rFonts w:ascii="Verdana" w:hAnsi="Verdana"/>
          <w:sz w:val="20"/>
        </w:rPr>
        <w:t xml:space="preserve"> Ministry of Public Health, Welfare and Spor</w:t>
      </w:r>
      <w:r w:rsidR="00D252F2" w:rsidRPr="00AE38CA">
        <w:rPr>
          <w:rFonts w:ascii="Verdana" w:hAnsi="Verdana"/>
          <w:sz w:val="20"/>
        </w:rPr>
        <w:t>t</w:t>
      </w:r>
      <w:r w:rsidRPr="00AE38CA">
        <w:rPr>
          <w:rFonts w:ascii="Verdana" w:hAnsi="Verdana"/>
          <w:sz w:val="20"/>
        </w:rPr>
        <w:t xml:space="preserve">, </w:t>
      </w:r>
      <w:r w:rsidRPr="00AE38CA">
        <w:rPr>
          <w:rFonts w:ascii="Verdana" w:hAnsi="Verdana"/>
          <w:i/>
          <w:sz w:val="20"/>
        </w:rPr>
        <w:t>Naschoolse dagbehandeling</w:t>
      </w:r>
      <w:r w:rsidRPr="00AE38CA">
        <w:rPr>
          <w:rFonts w:ascii="Verdana" w:hAnsi="Verdana"/>
          <w:sz w:val="20"/>
        </w:rPr>
        <w:t>, Rijksoverheid, The Hague, n.d., retrieved from</w:t>
      </w:r>
      <w:r w:rsidR="005C1D44" w:rsidRPr="00AE38CA">
        <w:rPr>
          <w:rFonts w:ascii="Verdana" w:hAnsi="Verdana"/>
          <w:sz w:val="20"/>
        </w:rPr>
        <w:t>:</w:t>
      </w:r>
      <w:r w:rsidRPr="00AE38CA">
        <w:rPr>
          <w:rFonts w:ascii="Verdana" w:hAnsi="Verdana"/>
          <w:sz w:val="20"/>
        </w:rPr>
        <w:t xml:space="preserve"> </w:t>
      </w:r>
      <w:hyperlink r:id="rId75" w:history="1">
        <w:r w:rsidR="005C1D44" w:rsidRPr="00AE38CA">
          <w:rPr>
            <w:rStyle w:val="Hyperlink"/>
            <w:rFonts w:ascii="Verdana" w:hAnsi="Verdana"/>
            <w:sz w:val="20"/>
          </w:rPr>
          <w:t>https://www.regelhulp.nl/ik-heb-hulp-nodig/</w:t>
        </w:r>
      </w:hyperlink>
      <w:r w:rsidR="005C1D44" w:rsidRPr="00AE38CA">
        <w:rPr>
          <w:rFonts w:ascii="Verdana" w:hAnsi="Verdana"/>
          <w:sz w:val="20"/>
        </w:rPr>
        <w:t xml:space="preserve"> </w:t>
      </w:r>
    </w:p>
    <w:p w14:paraId="6B32F8FB" w14:textId="73749FB0" w:rsidR="003E3306" w:rsidRPr="00AE38CA" w:rsidRDefault="00D91D3F" w:rsidP="001965B0">
      <w:pPr>
        <w:numPr>
          <w:ilvl w:val="0"/>
          <w:numId w:val="37"/>
        </w:numPr>
        <w:spacing w:after="0"/>
        <w:ind w:right="-1"/>
        <w:jc w:val="left"/>
        <w:rPr>
          <w:rFonts w:ascii="Verdana" w:hAnsi="Verdana"/>
          <w:sz w:val="16"/>
          <w:szCs w:val="16"/>
          <w:lang w:val="nl-NL"/>
        </w:rPr>
      </w:pPr>
      <w:r w:rsidRPr="00AE38CA">
        <w:rPr>
          <w:rFonts w:ascii="Verdana" w:hAnsi="Verdana"/>
          <w:sz w:val="20"/>
          <w:lang w:val="nl-NL"/>
        </w:rPr>
        <w:t xml:space="preserve">Zorgwijzer, </w:t>
      </w:r>
      <w:r w:rsidRPr="00AE38CA">
        <w:rPr>
          <w:rFonts w:ascii="Verdana" w:hAnsi="Verdana"/>
          <w:i/>
          <w:sz w:val="20"/>
          <w:lang w:val="nl-NL"/>
        </w:rPr>
        <w:t>Wet langdurige zorg</w:t>
      </w:r>
      <w:r w:rsidRPr="00AE38CA">
        <w:rPr>
          <w:rFonts w:ascii="Verdana" w:hAnsi="Verdana"/>
          <w:sz w:val="20"/>
          <w:lang w:val="nl-NL"/>
        </w:rPr>
        <w:t xml:space="preserve">, Zorgwijzer, Barendrecht, 2018, </w:t>
      </w:r>
      <w:proofErr w:type="spellStart"/>
      <w:r w:rsidRPr="00AE38CA">
        <w:rPr>
          <w:rFonts w:ascii="Verdana" w:hAnsi="Verdana"/>
          <w:sz w:val="20"/>
          <w:lang w:val="nl-NL"/>
        </w:rPr>
        <w:t>retrieved</w:t>
      </w:r>
      <w:proofErr w:type="spellEnd"/>
      <w:r w:rsidRPr="00AE38CA">
        <w:rPr>
          <w:rFonts w:ascii="Verdana" w:hAnsi="Verdana"/>
          <w:sz w:val="20"/>
          <w:lang w:val="nl-NL"/>
        </w:rPr>
        <w:t xml:space="preserve"> </w:t>
      </w:r>
      <w:proofErr w:type="spellStart"/>
      <w:r w:rsidRPr="00AE38CA">
        <w:rPr>
          <w:rFonts w:ascii="Verdana" w:hAnsi="Verdana"/>
          <w:sz w:val="20"/>
          <w:lang w:val="nl-NL"/>
        </w:rPr>
        <w:t>from</w:t>
      </w:r>
      <w:proofErr w:type="spellEnd"/>
      <w:r w:rsidRPr="00AE38CA">
        <w:rPr>
          <w:rFonts w:ascii="Verdana" w:hAnsi="Verdana"/>
          <w:sz w:val="20"/>
          <w:lang w:val="nl-NL"/>
        </w:rPr>
        <w:t xml:space="preserve"> </w:t>
      </w:r>
      <w:hyperlink r:id="rId76" w:history="1">
        <w:r w:rsidR="005C1D44" w:rsidRPr="00AE38CA">
          <w:rPr>
            <w:rStyle w:val="Hyperlink"/>
            <w:rFonts w:ascii="Verdana" w:hAnsi="Verdana"/>
            <w:sz w:val="20"/>
            <w:lang w:val="nl-NL"/>
          </w:rPr>
          <w:t>https://www.zorgwijzer.nl/faq/wlz</w:t>
        </w:r>
      </w:hyperlink>
      <w:r w:rsidR="005C1D44" w:rsidRPr="00AE38CA">
        <w:rPr>
          <w:rFonts w:ascii="Verdana" w:hAnsi="Verdana"/>
          <w:sz w:val="20"/>
          <w:lang w:val="nl-NL"/>
        </w:rPr>
        <w:t xml:space="preserve"> </w:t>
      </w:r>
      <w:bookmarkStart w:id="20" w:name="Prix1"/>
      <w:bookmarkEnd w:id="20"/>
      <w:r w:rsidR="003E3306" w:rsidRPr="00AE38CA">
        <w:rPr>
          <w:rFonts w:ascii="Verdana" w:hAnsi="Verdana"/>
          <w:sz w:val="16"/>
          <w:szCs w:val="16"/>
          <w:lang w:val="nl-NL"/>
        </w:rPr>
        <w:br w:type="page"/>
      </w:r>
    </w:p>
    <w:p w14:paraId="3902F8BC" w14:textId="56DEE6FB" w:rsidR="003E3306" w:rsidRPr="00AE38CA" w:rsidRDefault="003E3306" w:rsidP="003505B6">
      <w:pPr>
        <w:pStyle w:val="Kop1"/>
        <w:numPr>
          <w:ilvl w:val="0"/>
          <w:numId w:val="0"/>
        </w:numPr>
        <w:ind w:left="432"/>
      </w:pPr>
      <w:r w:rsidRPr="00AE38CA">
        <w:lastRenderedPageBreak/>
        <w:t>Interviews</w:t>
      </w:r>
    </w:p>
    <w:p w14:paraId="405005B3" w14:textId="77777777" w:rsidR="00E16241" w:rsidRPr="00AE38CA" w:rsidRDefault="00E16241" w:rsidP="00F44B85">
      <w:pPr>
        <w:pStyle w:val="Plattetekst"/>
      </w:pPr>
    </w:p>
    <w:p w14:paraId="05EEDADB" w14:textId="529D224E" w:rsidR="003E3306" w:rsidRPr="00AE38CA" w:rsidRDefault="00DC2E1F" w:rsidP="001965B0">
      <w:pPr>
        <w:numPr>
          <w:ilvl w:val="0"/>
          <w:numId w:val="37"/>
        </w:numPr>
        <w:spacing w:after="0"/>
        <w:rPr>
          <w:rFonts w:ascii="Verdana" w:hAnsi="Verdana"/>
          <w:sz w:val="20"/>
          <w:lang w:val="nl-NL"/>
        </w:rPr>
      </w:pPr>
      <w:r w:rsidRPr="00AE38CA">
        <w:rPr>
          <w:rFonts w:ascii="Verdana" w:hAnsi="Verdana"/>
          <w:sz w:val="20"/>
          <w:lang w:val="nl-NL"/>
        </w:rPr>
        <w:t xml:space="preserve">Save </w:t>
      </w:r>
      <w:proofErr w:type="spellStart"/>
      <w:r w:rsidRPr="00AE38CA">
        <w:rPr>
          <w:rFonts w:ascii="Verdana" w:hAnsi="Verdana"/>
          <w:sz w:val="20"/>
          <w:lang w:val="nl-NL"/>
        </w:rPr>
        <w:t>the</w:t>
      </w:r>
      <w:proofErr w:type="spellEnd"/>
      <w:r w:rsidRPr="00AE38CA">
        <w:rPr>
          <w:rFonts w:ascii="Verdana" w:hAnsi="Verdana"/>
          <w:sz w:val="20"/>
          <w:lang w:val="nl-NL"/>
        </w:rPr>
        <w:t xml:space="preserve"> </w:t>
      </w:r>
      <w:proofErr w:type="spellStart"/>
      <w:r w:rsidR="006A64FC" w:rsidRPr="00AE38CA">
        <w:rPr>
          <w:rFonts w:ascii="Verdana" w:hAnsi="Verdana"/>
          <w:sz w:val="20"/>
          <w:lang w:val="nl-NL"/>
        </w:rPr>
        <w:t>C</w:t>
      </w:r>
      <w:r w:rsidRPr="00AE38CA">
        <w:rPr>
          <w:rFonts w:ascii="Verdana" w:hAnsi="Verdana"/>
          <w:sz w:val="20"/>
          <w:lang w:val="nl-NL"/>
        </w:rPr>
        <w:t>hildren</w:t>
      </w:r>
      <w:proofErr w:type="spellEnd"/>
    </w:p>
    <w:p w14:paraId="7A4C3400" w14:textId="5BAECF83" w:rsidR="00DC2E1F" w:rsidRPr="00AE38CA" w:rsidRDefault="00DC2E1F" w:rsidP="001965B0">
      <w:pPr>
        <w:numPr>
          <w:ilvl w:val="0"/>
          <w:numId w:val="37"/>
        </w:numPr>
        <w:spacing w:after="0"/>
        <w:rPr>
          <w:rFonts w:ascii="Verdana" w:hAnsi="Verdana"/>
          <w:sz w:val="20"/>
          <w:lang w:val="nl-NL"/>
        </w:rPr>
      </w:pPr>
      <w:proofErr w:type="spellStart"/>
      <w:r w:rsidRPr="00AE38CA">
        <w:rPr>
          <w:rFonts w:ascii="Verdana" w:hAnsi="Verdana"/>
          <w:sz w:val="20"/>
          <w:lang w:val="nl-NL"/>
        </w:rPr>
        <w:t>Defence</w:t>
      </w:r>
      <w:proofErr w:type="spellEnd"/>
      <w:r w:rsidRPr="00AE38CA">
        <w:rPr>
          <w:rFonts w:ascii="Verdana" w:hAnsi="Verdana"/>
          <w:sz w:val="20"/>
          <w:lang w:val="nl-NL"/>
        </w:rPr>
        <w:t xml:space="preserve"> </w:t>
      </w:r>
      <w:proofErr w:type="spellStart"/>
      <w:r w:rsidRPr="00AE38CA">
        <w:rPr>
          <w:rFonts w:ascii="Verdana" w:hAnsi="Verdana"/>
          <w:sz w:val="20"/>
          <w:lang w:val="nl-NL"/>
        </w:rPr>
        <w:t>for</w:t>
      </w:r>
      <w:proofErr w:type="spellEnd"/>
      <w:r w:rsidRPr="00AE38CA">
        <w:rPr>
          <w:rFonts w:ascii="Verdana" w:hAnsi="Verdana"/>
          <w:sz w:val="20"/>
          <w:lang w:val="nl-NL"/>
        </w:rPr>
        <w:t xml:space="preserve"> </w:t>
      </w:r>
      <w:proofErr w:type="spellStart"/>
      <w:r w:rsidRPr="00AE38CA">
        <w:rPr>
          <w:rFonts w:ascii="Verdana" w:hAnsi="Verdana"/>
          <w:sz w:val="20"/>
          <w:lang w:val="nl-NL"/>
        </w:rPr>
        <w:t>Children</w:t>
      </w:r>
      <w:proofErr w:type="spellEnd"/>
    </w:p>
    <w:p w14:paraId="5C5BCB93" w14:textId="415EB019" w:rsidR="00DC2E1F" w:rsidRPr="00AE38CA" w:rsidRDefault="00DC2E1F" w:rsidP="001965B0">
      <w:pPr>
        <w:numPr>
          <w:ilvl w:val="0"/>
          <w:numId w:val="37"/>
        </w:numPr>
        <w:spacing w:after="0"/>
        <w:rPr>
          <w:rFonts w:ascii="Verdana" w:hAnsi="Verdana"/>
          <w:sz w:val="20"/>
          <w:lang w:val="nl-NL"/>
        </w:rPr>
      </w:pPr>
      <w:r w:rsidRPr="00AE38CA">
        <w:rPr>
          <w:rFonts w:ascii="Verdana" w:hAnsi="Verdana"/>
          <w:sz w:val="20"/>
          <w:lang w:val="nl-NL"/>
        </w:rPr>
        <w:t xml:space="preserve">Kinderombudsman </w:t>
      </w:r>
    </w:p>
    <w:p w14:paraId="105563CA" w14:textId="77777777" w:rsidR="00896AEB" w:rsidRPr="00AE38CA" w:rsidRDefault="00896AEB" w:rsidP="001965B0">
      <w:pPr>
        <w:numPr>
          <w:ilvl w:val="0"/>
          <w:numId w:val="37"/>
        </w:numPr>
        <w:spacing w:after="0"/>
        <w:rPr>
          <w:rFonts w:ascii="Verdana" w:hAnsi="Verdana"/>
          <w:sz w:val="20"/>
          <w:lang w:val="en-US"/>
        </w:rPr>
      </w:pPr>
      <w:r w:rsidRPr="00AE38CA">
        <w:rPr>
          <w:rFonts w:ascii="Verdana" w:hAnsi="Verdana"/>
          <w:sz w:val="20"/>
          <w:lang w:val="en-US"/>
        </w:rPr>
        <w:t>Managing Authorities: Ministry of Social Affairs and Employment</w:t>
      </w:r>
    </w:p>
    <w:p w14:paraId="68969309" w14:textId="783F69D1" w:rsidR="00530C44" w:rsidRPr="00EF79F6" w:rsidRDefault="00530C44" w:rsidP="003505B6">
      <w:pPr>
        <w:spacing w:after="0"/>
        <w:rPr>
          <w:rFonts w:ascii="Verdana" w:hAnsi="Verdana"/>
          <w:sz w:val="20"/>
          <w:lang w:val="en-US"/>
        </w:rPr>
      </w:pPr>
    </w:p>
    <w:p w14:paraId="33CB5DCE" w14:textId="77777777" w:rsidR="00530C44" w:rsidRPr="00EF79F6" w:rsidRDefault="00530C44" w:rsidP="00426036">
      <w:pPr>
        <w:spacing w:after="0"/>
        <w:rPr>
          <w:rFonts w:ascii="Verdana" w:hAnsi="Verdana"/>
          <w:sz w:val="20"/>
          <w:lang w:val="en-US"/>
        </w:rPr>
      </w:pPr>
    </w:p>
    <w:p w14:paraId="1D7DB76D" w14:textId="77777777" w:rsidR="003E3306" w:rsidRPr="00EF79F6" w:rsidRDefault="003E3306" w:rsidP="00517141">
      <w:pPr>
        <w:ind w:right="-1"/>
        <w:rPr>
          <w:rFonts w:ascii="Verdana" w:hAnsi="Verdana"/>
          <w:sz w:val="16"/>
          <w:szCs w:val="16"/>
          <w:lang w:val="en-US"/>
        </w:rPr>
      </w:pPr>
    </w:p>
    <w:sectPr w:rsidR="003E3306" w:rsidRPr="00EF79F6" w:rsidSect="00614DBA">
      <w:headerReference w:type="first" r:id="rId77"/>
      <w:footerReference w:type="first" r:id="rId78"/>
      <w:pgSz w:w="11907" w:h="16839" w:code="9"/>
      <w:pgMar w:top="2136" w:right="1418" w:bottom="737" w:left="1418" w:header="567" w:footer="54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4485" w14:textId="77777777" w:rsidR="001174CB" w:rsidRDefault="001174CB">
      <w:pPr>
        <w:spacing w:after="0"/>
      </w:pPr>
      <w:r>
        <w:separator/>
      </w:r>
    </w:p>
  </w:endnote>
  <w:endnote w:type="continuationSeparator" w:id="0">
    <w:p w14:paraId="6713A11E" w14:textId="77777777" w:rsidR="001174CB" w:rsidRDefault="001174CB">
      <w:pPr>
        <w:spacing w:after="0"/>
      </w:pPr>
      <w:r>
        <w:continuationSeparator/>
      </w:r>
    </w:p>
  </w:endnote>
  <w:endnote w:type="continuationNotice" w:id="1">
    <w:p w14:paraId="0F3400AE" w14:textId="77777777" w:rsidR="001174CB" w:rsidRDefault="001174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C Square Sans Pro">
    <w:altName w:val="Calibri"/>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Regular">
    <w:altName w:val="Cambria"/>
    <w:panose1 w:val="00000000000000000000"/>
    <w:charset w:val="00"/>
    <w:family w:val="roman"/>
    <w:notTrueType/>
    <w:pitch w:val="default"/>
    <w:sig w:usb0="00000003" w:usb1="00000000" w:usb2="00000000" w:usb3="00000000" w:csb0="00000001" w:csb1="00000000"/>
  </w:font>
  <w:font w:name="RijksoverheidSerif-Bold">
    <w:altName w:val="Cambria"/>
    <w:panose1 w:val="00000000000000000000"/>
    <w:charset w:val="00"/>
    <w:family w:val="roman"/>
    <w:notTrueType/>
    <w:pitch w:val="default"/>
    <w:sig w:usb0="00000003" w:usb1="00000000" w:usb2="00000000" w:usb3="00000000" w:csb0="00000001" w:csb1="00000000"/>
  </w:font>
  <w:font w:name="TheSansOffice">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4668" w14:textId="77777777" w:rsidR="00144401" w:rsidRDefault="00144401" w:rsidP="00614DBA">
    <w:pPr>
      <w:spacing w:after="0"/>
      <w:jc w:val="center"/>
      <w:rPr>
        <w:rFonts w:ascii="Verdana" w:hAnsi="Verdana"/>
        <w:sz w:val="18"/>
      </w:rPr>
    </w:pPr>
    <w:r w:rsidRPr="00213AE8">
      <w:rPr>
        <w:rFonts w:ascii="Verdana" w:eastAsia="Verdana" w:hAnsi="Verdana" w:cs="Verdana"/>
        <w:sz w:val="18"/>
        <w:szCs w:val="18"/>
        <w:lang w:bidi="en-GB"/>
      </w:rPr>
      <w:t>Directorate-General for Employment, Social Affairs and Inclusion</w:t>
    </w:r>
  </w:p>
  <w:p w14:paraId="3157CB90" w14:textId="77777777" w:rsidR="00144401" w:rsidRDefault="00144401">
    <w:pPr>
      <w:pStyle w:val="Voettekst"/>
    </w:pPr>
    <w:r>
      <w:rPr>
        <w:rFonts w:ascii="Verdana" w:hAnsi="Verdana"/>
      </w:rPr>
      <w:t>2015</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7693" w14:textId="471BDAD3" w:rsidR="00144401" w:rsidRPr="00A56E72" w:rsidRDefault="00144401" w:rsidP="00614DBA">
    <w:pPr>
      <w:pStyle w:val="FooterDate"/>
      <w:ind w:right="-1"/>
      <w:rPr>
        <w:rFonts w:cs="Arial"/>
        <w:sz w:val="18"/>
        <w:szCs w:val="18"/>
        <w:lang w:val="en-GB"/>
      </w:rPr>
    </w:pPr>
    <w:r>
      <w:rPr>
        <w:noProof/>
        <w:lang w:val="en-IE" w:eastAsia="en-IE"/>
      </w:rPr>
      <mc:AlternateContent>
        <mc:Choice Requires="wps">
          <w:drawing>
            <wp:anchor distT="0" distB="0" distL="114300" distR="114300" simplePos="0" relativeHeight="251658240" behindDoc="0" locked="0" layoutInCell="1" allowOverlap="1" wp14:anchorId="4D915BAA" wp14:editId="271AB844">
              <wp:simplePos x="0" y="0"/>
              <wp:positionH relativeFrom="margin">
                <wp:align>center</wp:align>
              </wp:positionH>
              <wp:positionV relativeFrom="margin">
                <wp:posOffset>8155305</wp:posOffset>
              </wp:positionV>
              <wp:extent cx="842645" cy="288290"/>
              <wp:effectExtent l="0" t="0" r="0" b="0"/>
              <wp:wrapSquare wrapText="bothSides"/>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F1DE3" id="Rectangle 79" o:spid="_x0000_s1026" style="position:absolute;margin-left:0;margin-top:642.15pt;width:66.35pt;height:2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" fillcolor="#002395" stroked="f">
              <w10:wrap type="square" anchorx="margin" anchory="margin"/>
            </v:rect>
          </w:pict>
        </mc:Fallback>
      </mc:AlternateContent>
    </w:r>
    <w:r>
      <w:rPr>
        <w:noProof/>
        <w:lang w:val="en-IE" w:eastAsia="en-IE"/>
      </w:rPr>
      <mc:AlternateContent>
        <mc:Choice Requires="wps">
          <w:drawing>
            <wp:anchor distT="0" distB="0" distL="114300" distR="114300" simplePos="0" relativeHeight="251658247" behindDoc="0" locked="0" layoutInCell="1" allowOverlap="1" wp14:anchorId="5C767088" wp14:editId="6B0377B1">
              <wp:simplePos x="0" y="0"/>
              <wp:positionH relativeFrom="column">
                <wp:posOffset>4281170</wp:posOffset>
              </wp:positionH>
              <wp:positionV relativeFrom="margin">
                <wp:posOffset>9475470</wp:posOffset>
              </wp:positionV>
              <wp:extent cx="1438275" cy="561975"/>
              <wp:effectExtent l="0" t="0" r="0" b="381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61975"/>
                      </a:xfrm>
                      <a:prstGeom prst="rect">
                        <a:avLst/>
                      </a:prstGeom>
                      <a:noFill/>
                      <a:ln>
                        <a:noFill/>
                      </a:ln>
                      <a:extLst>
                        <a:ext uri="{909E8E84-426E-40DD-AFC4-6F175D3DCCD1}">
                          <a14:hiddenFill xmlns:a14="http://schemas.microsoft.com/office/drawing/2010/main">
                            <a:solidFill>
                              <a:srgbClr val="00239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A3E9" w14:textId="77777777" w:rsidR="00144401" w:rsidRPr="00696241" w:rsidRDefault="00144401" w:rsidP="00614DBA">
                          <w:pPr>
                            <w:pStyle w:val="FooterDate"/>
                            <w:ind w:right="-1"/>
                            <w:jc w:val="right"/>
                            <w:rPr>
                              <w:rFonts w:cs="Arial"/>
                              <w:szCs w:val="16"/>
                            </w:rPr>
                          </w:pPr>
                          <w:r w:rsidRPr="00696241">
                            <w:rPr>
                              <w:rFonts w:eastAsia="Verdana" w:cs="Verdana"/>
                              <w:szCs w:val="16"/>
                              <w:lang w:val="en-GB" w:bidi="en-GB"/>
                            </w:rPr>
                            <w:t xml:space="preserve">EUR </w:t>
                          </w:r>
                          <w:r w:rsidRPr="00696241">
                            <w:rPr>
                              <w:rFonts w:eastAsia="Verdana" w:cs="Verdana"/>
                              <w:color w:val="FF0000"/>
                              <w:szCs w:val="16"/>
                              <w:lang w:val="en-GB" w:bidi="en-GB"/>
                            </w:rPr>
                            <w:t xml:space="preserve">[number] </w:t>
                          </w:r>
                          <w:r w:rsidRPr="00696241">
                            <w:rPr>
                              <w:rFonts w:eastAsia="Verdana" w:cs="Verdana"/>
                              <w:szCs w:val="16"/>
                              <w:lang w:val="en-GB" w:bidi="en-GB"/>
                            </w:rPr>
                            <w:t>EN</w:t>
                          </w:r>
                        </w:p>
                        <w:p w14:paraId="7DB0EC1F" w14:textId="77777777" w:rsidR="00144401" w:rsidRDefault="001444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67088" id="_x0000_t202" coordsize="21600,21600" o:spt="202" path="m,l,21600r21600,l21600,xe">
              <v:stroke joinstyle="miter"/>
              <v:path gradientshapeok="t" o:connecttype="rect"/>
            </v:shapetype>
            <v:shape id="Text Box 75" o:spid="_x0000_s1026" type="#_x0000_t202" style="position:absolute;margin-left:337.1pt;margin-top:746.1pt;width:113.25pt;height:4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" filled="f" fillcolor="#002395" stroked="f">
              <v:textbox inset="0,0,0,0">
                <w:txbxContent>
                  <w:p w14:paraId="2924A3E9" w14:textId="77777777" w:rsidR="00144401" w:rsidRPr="00696241" w:rsidRDefault="00144401" w:rsidP="00614DBA">
                    <w:pPr>
                      <w:pStyle w:val="FooterDate"/>
                      <w:ind w:right="-1"/>
                      <w:jc w:val="right"/>
                      <w:rPr>
                        <w:rFonts w:cs="Arial"/>
                        <w:szCs w:val="16"/>
                      </w:rPr>
                    </w:pPr>
                    <w:r w:rsidRPr="00696241">
                      <w:rPr>
                        <w:rFonts w:eastAsia="Verdana" w:cs="Verdana"/>
                        <w:szCs w:val="16"/>
                        <w:lang w:val="en-GB" w:bidi="en-GB"/>
                      </w:rPr>
                      <w:t xml:space="preserve">EUR </w:t>
                    </w:r>
                    <w:r w:rsidRPr="00696241">
                      <w:rPr>
                        <w:rFonts w:eastAsia="Verdana" w:cs="Verdana"/>
                        <w:color w:val="FF0000"/>
                        <w:szCs w:val="16"/>
                        <w:lang w:val="en-GB" w:bidi="en-GB"/>
                      </w:rPr>
                      <w:t xml:space="preserve">[number] </w:t>
                    </w:r>
                    <w:r w:rsidRPr="00696241">
                      <w:rPr>
                        <w:rFonts w:eastAsia="Verdana" w:cs="Verdana"/>
                        <w:szCs w:val="16"/>
                        <w:lang w:val="en-GB" w:bidi="en-GB"/>
                      </w:rPr>
                      <w:t>EN</w:t>
                    </w:r>
                  </w:p>
                  <w:p w14:paraId="7DB0EC1F" w14:textId="77777777" w:rsidR="00144401" w:rsidRDefault="00144401"/>
                </w:txbxContent>
              </v:textbox>
              <w10:wrap anchory="margin"/>
            </v:shape>
          </w:pict>
        </mc:Fallback>
      </mc:AlternateContent>
    </w:r>
  </w:p>
  <w:p w14:paraId="6B41E8E6" w14:textId="24BAD652" w:rsidR="00144401" w:rsidRPr="00AE38CA" w:rsidRDefault="00144401" w:rsidP="00614DBA">
    <w:pPr>
      <w:pStyle w:val="FooterDate"/>
      <w:ind w:right="-1"/>
      <w:rPr>
        <w:rFonts w:cs="Arial"/>
        <w:sz w:val="18"/>
        <w:szCs w:val="18"/>
        <w:lang w:val="nl-NL"/>
      </w:rPr>
    </w:pPr>
    <w:r w:rsidRPr="00B40516">
      <w:rPr>
        <w:rFonts w:eastAsia="Verdana" w:cs="Verdana"/>
        <w:sz w:val="18"/>
        <w:szCs w:val="18"/>
        <w:lang w:val="nl-NL" w:bidi="en-GB"/>
      </w:rPr>
      <w:t xml:space="preserve">[Bob van Waveren, Jolien Groot, Diane Fase, Willemijn Smit, </w:t>
    </w:r>
    <w:r>
      <w:rPr>
        <w:rFonts w:eastAsia="Verdana" w:cs="Verdana"/>
        <w:sz w:val="18"/>
        <w:szCs w:val="18"/>
        <w:lang w:val="nl-NL" w:bidi="en-GB"/>
      </w:rPr>
      <w:br/>
    </w:r>
    <w:r w:rsidRPr="00AE38CA">
      <w:rPr>
        <w:rFonts w:eastAsia="Verdana" w:cs="Verdana"/>
        <w:sz w:val="18"/>
        <w:szCs w:val="18"/>
        <w:lang w:val="nl-NL" w:bidi="en-GB"/>
      </w:rPr>
      <w:t>Bjorn Dekker, Kees van Bergen,]</w:t>
    </w:r>
  </w:p>
  <w:p w14:paraId="5A90B75D" w14:textId="346DEFB8" w:rsidR="00144401" w:rsidRPr="006C4FED" w:rsidRDefault="007A7319" w:rsidP="00614DBA">
    <w:pPr>
      <w:pStyle w:val="FooterDate"/>
      <w:ind w:right="-1"/>
      <w:rPr>
        <w:rFonts w:cs="Arial"/>
        <w:sz w:val="18"/>
        <w:szCs w:val="18"/>
        <w:lang w:val="nl-NL"/>
      </w:rPr>
    </w:pPr>
    <w:proofErr w:type="spellStart"/>
    <w:r w:rsidRPr="00AE38CA">
      <w:rPr>
        <w:rFonts w:eastAsia="Verdana" w:cs="Verdana"/>
        <w:i/>
        <w:iCs/>
        <w:sz w:val="18"/>
        <w:szCs w:val="18"/>
        <w:lang w:val="nl-NL" w:bidi="en-GB"/>
      </w:rPr>
      <w:t>March</w:t>
    </w:r>
    <w:proofErr w:type="spellEnd"/>
    <w:r w:rsidRPr="00AE38CA">
      <w:rPr>
        <w:rFonts w:eastAsia="Verdana" w:cs="Verdana"/>
        <w:i/>
        <w:iCs/>
        <w:sz w:val="18"/>
        <w:szCs w:val="18"/>
        <w:lang w:val="nl-NL" w:bidi="en-GB"/>
      </w:rPr>
      <w:t xml:space="preserve"> </w:t>
    </w:r>
    <w:r w:rsidR="00144401" w:rsidRPr="00AE38CA">
      <w:rPr>
        <w:rFonts w:eastAsia="Verdana" w:cs="Verdana"/>
        <w:i/>
        <w:iCs/>
        <w:sz w:val="18"/>
        <w:szCs w:val="18"/>
        <w:lang w:val="nl-NL" w:bidi="en-GB"/>
      </w:rP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C0C5" w14:textId="77777777" w:rsidR="00144401" w:rsidRPr="006B26AA" w:rsidRDefault="00144401" w:rsidP="00357045">
    <w:pPr>
      <w:pStyle w:val="Voettekst"/>
      <w:rPr>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FA93" w14:textId="77777777" w:rsidR="00144401" w:rsidRDefault="00144401" w:rsidP="00357045">
    <w:pPr>
      <w:spacing w:after="0"/>
      <w:jc w:val="center"/>
      <w:rPr>
        <w:rFonts w:ascii="Verdana" w:hAnsi="Verdana"/>
        <w:sz w:val="18"/>
      </w:rPr>
    </w:pPr>
    <w:r w:rsidRPr="00213AE8">
      <w:rPr>
        <w:rFonts w:ascii="Verdana" w:hAnsi="Verdana"/>
        <w:sz w:val="18"/>
      </w:rPr>
      <w:t xml:space="preserve">Directorate-General for </w:t>
    </w:r>
    <w:r>
      <w:rPr>
        <w:rFonts w:ascii="Verdana" w:hAnsi="Verdana"/>
        <w:sz w:val="18"/>
      </w:rPr>
      <w:t>Employment, Social Affairs and</w:t>
    </w:r>
    <w:r w:rsidRPr="0084455C">
      <w:rPr>
        <w:rFonts w:ascii="Verdana" w:hAnsi="Verdana"/>
        <w:sz w:val="18"/>
      </w:rPr>
      <w:t xml:space="preserve"> Inclusion</w:t>
    </w:r>
  </w:p>
  <w:p w14:paraId="0D11BBF0" w14:textId="77777777" w:rsidR="00144401" w:rsidRPr="006B26AA" w:rsidRDefault="00144401" w:rsidP="00357045">
    <w:pPr>
      <w:pStyle w:val="Voettekst"/>
      <w:rPr>
        <w:szCs w:val="12"/>
      </w:rPr>
    </w:pPr>
    <w:r w:rsidRPr="00CF0228">
      <w:rPr>
        <w:rFonts w:ascii="Verdana" w:hAnsi="Verdana"/>
      </w:rPr>
      <w:t>201</w:t>
    </w:r>
    <w:r>
      <w:rPr>
        <w:rFonts w:ascii="Verdana" w:hAnsi="Verdana"/>
      </w:rPr>
      <w:t>9</w:t>
    </w:r>
    <w:r>
      <w:rPr>
        <w:rFonts w:ascii="Verdana" w:hAnsi="Verdana"/>
      </w:rPr>
      <w:tab/>
    </w:r>
    <w:r>
      <w:rPr>
        <w:rFonts w:ascii="Verdana" w:hAnsi="Verdana"/>
      </w:rPr>
      <w:tab/>
    </w:r>
    <w:r>
      <w:rPr>
        <w:rFonts w:ascii="Verdana" w:hAnsi="Verdana"/>
      </w:rPr>
      <w:tab/>
    </w:r>
  </w:p>
  <w:p w14:paraId="7C639431" w14:textId="77777777" w:rsidR="00144401" w:rsidRPr="006B26AA" w:rsidRDefault="00144401" w:rsidP="00357045">
    <w:pPr>
      <w:pStyle w:val="Voettekst"/>
      <w:rPr>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2871" w14:textId="77777777" w:rsidR="00144401" w:rsidRDefault="00144401">
    <w:pPr>
      <w:pStyle w:val="Voettekst"/>
      <w:jc w:val="right"/>
    </w:pPr>
    <w:r>
      <w:fldChar w:fldCharType="begin"/>
    </w:r>
    <w:r>
      <w:instrText xml:space="preserve"> PAGE   \* MERGEFORMAT </w:instrText>
    </w:r>
    <w:r>
      <w:fldChar w:fldCharType="separate"/>
    </w:r>
    <w:r w:rsidR="004A0453">
      <w:rPr>
        <w:noProof/>
      </w:rPr>
      <w:t>39</w:t>
    </w:r>
    <w:r>
      <w:rPr>
        <w:noProof/>
      </w:rPr>
      <w:fldChar w:fldCharType="end"/>
    </w:r>
  </w:p>
  <w:p w14:paraId="24194B6C" w14:textId="77777777" w:rsidR="00144401" w:rsidRDefault="00144401">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AAE7" w14:textId="77777777" w:rsidR="00144401" w:rsidRPr="006B26AA" w:rsidRDefault="00144401" w:rsidP="00357045">
    <w:pPr>
      <w:pStyle w:val="Voettekst"/>
      <w:rPr>
        <w:szCs w:val="12"/>
      </w:rPr>
    </w:pPr>
    <w:r>
      <w:rPr>
        <w:rFonts w:ascii="Verdana" w:hAnsi="Verdana"/>
      </w:rPr>
      <w:tab/>
    </w:r>
    <w:r>
      <w:rPr>
        <w:rFonts w:ascii="Verdana" w:hAnsi="Verdana"/>
      </w:rPr>
      <w:tab/>
    </w:r>
    <w:r>
      <w:rPr>
        <w:rFonts w:ascii="Verdana" w:hAnsi="Verdana"/>
      </w:rPr>
      <w:tab/>
    </w:r>
  </w:p>
  <w:p w14:paraId="1A0233EA" w14:textId="77777777" w:rsidR="00144401" w:rsidRPr="006B26AA" w:rsidRDefault="00144401" w:rsidP="00357045">
    <w:pPr>
      <w:pStyle w:val="Voettekst"/>
      <w:rPr>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321714"/>
      <w:docPartObj>
        <w:docPartGallery w:val="Page Numbers (Bottom of Page)"/>
        <w:docPartUnique/>
      </w:docPartObj>
    </w:sdtPr>
    <w:sdtEndPr/>
    <w:sdtContent>
      <w:p w14:paraId="677F3496" w14:textId="30C722BB" w:rsidR="001965B0" w:rsidRDefault="001965B0">
        <w:pPr>
          <w:pStyle w:val="Voettekst"/>
          <w:jc w:val="right"/>
        </w:pPr>
        <w:r>
          <w:fldChar w:fldCharType="begin"/>
        </w:r>
        <w:r>
          <w:instrText>PAGE   \* MERGEFORMAT</w:instrText>
        </w:r>
        <w:r>
          <w:fldChar w:fldCharType="separate"/>
        </w:r>
        <w:r>
          <w:rPr>
            <w:lang w:val="nl-NL"/>
          </w:rPr>
          <w:t>2</w:t>
        </w:r>
        <w:r>
          <w:fldChar w:fldCharType="end"/>
        </w:r>
      </w:p>
    </w:sdtContent>
  </w:sdt>
  <w:p w14:paraId="4CD3DF87" w14:textId="77777777" w:rsidR="00144401" w:rsidRPr="006B26AA" w:rsidRDefault="00144401" w:rsidP="00614DBA">
    <w:pPr>
      <w:pStyle w:val="Voettekst"/>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EA3E" w14:textId="77777777" w:rsidR="001174CB" w:rsidRDefault="001174CB">
      <w:r>
        <w:separator/>
      </w:r>
    </w:p>
  </w:footnote>
  <w:footnote w:type="continuationSeparator" w:id="0">
    <w:p w14:paraId="483DF301" w14:textId="77777777" w:rsidR="001174CB" w:rsidRDefault="001174CB">
      <w:r>
        <w:continuationSeparator/>
      </w:r>
    </w:p>
  </w:footnote>
  <w:footnote w:type="continuationNotice" w:id="1">
    <w:p w14:paraId="20E39007" w14:textId="77777777" w:rsidR="001174CB" w:rsidRDefault="001174CB">
      <w:pPr>
        <w:spacing w:after="0"/>
      </w:pPr>
    </w:p>
  </w:footnote>
  <w:footnote w:id="2">
    <w:p w14:paraId="1BA8842E" w14:textId="17261814" w:rsidR="005679AD" w:rsidRPr="005679AD" w:rsidRDefault="005679AD">
      <w:pPr>
        <w:pStyle w:val="Voetnoottekst"/>
      </w:pPr>
      <w:r w:rsidRPr="00AE38CA">
        <w:rPr>
          <w:rStyle w:val="Voetnootmarkering"/>
        </w:rPr>
        <w:footnoteRef/>
      </w:r>
      <w:r w:rsidRPr="00AE38CA">
        <w:t xml:space="preserve"> </w:t>
      </w:r>
      <w:r w:rsidR="00C83F26" w:rsidRPr="00AE38CA">
        <w:t>T</w:t>
      </w:r>
      <w:r w:rsidRPr="00AE38CA">
        <w:t>he current system requires parents to first pay for early childhood education themselves and then apply for tax benefits through the Dutch tax authority.</w:t>
      </w:r>
    </w:p>
  </w:footnote>
  <w:footnote w:id="3">
    <w:p w14:paraId="6DE4035D" w14:textId="52D05F48" w:rsidR="00144401" w:rsidRPr="001065C5" w:rsidRDefault="00144401" w:rsidP="00110B46">
      <w:pPr>
        <w:pStyle w:val="Voetnoottekst"/>
      </w:pPr>
      <w:r>
        <w:rPr>
          <w:rStyle w:val="Voetnootmarkering"/>
        </w:rPr>
        <w:footnoteRef/>
      </w:r>
      <w:r w:rsidRPr="00CF02C2">
        <w:rPr>
          <w:lang w:val="en-US"/>
        </w:rPr>
        <w:t xml:space="preserve"> </w:t>
      </w:r>
      <w:r>
        <w:rPr>
          <w:lang w:val="en-US"/>
        </w:rPr>
        <w:t xml:space="preserve">The main part of </w:t>
      </w:r>
      <w:r w:rsidRPr="00AE38CA">
        <w:rPr>
          <w:lang w:val="en-US"/>
        </w:rPr>
        <w:t xml:space="preserve">this section </w:t>
      </w:r>
      <w:r w:rsidR="007E042D" w:rsidRPr="00AE38CA">
        <w:rPr>
          <w:lang w:val="en-US"/>
        </w:rPr>
        <w:t xml:space="preserve">2.1 </w:t>
      </w:r>
      <w:r w:rsidRPr="00AE38CA">
        <w:rPr>
          <w:lang w:val="en-US"/>
        </w:rPr>
        <w:t>was published</w:t>
      </w:r>
      <w:r w:rsidRPr="00CF02C2">
        <w:rPr>
          <w:lang w:val="en-US"/>
        </w:rPr>
        <w:t xml:space="preserve"> </w:t>
      </w:r>
      <w:r>
        <w:rPr>
          <w:lang w:val="en-US"/>
        </w:rPr>
        <w:t xml:space="preserve">earlier </w:t>
      </w:r>
      <w:r w:rsidRPr="00CF02C2">
        <w:rPr>
          <w:lang w:val="en-US"/>
        </w:rPr>
        <w:t xml:space="preserve">in </w:t>
      </w:r>
      <w:r>
        <w:rPr>
          <w:lang w:val="en-US"/>
        </w:rPr>
        <w:t xml:space="preserve">the </w:t>
      </w:r>
      <w:r w:rsidRPr="00E90517">
        <w:rPr>
          <w:i/>
          <w:lang w:val="en-US"/>
        </w:rPr>
        <w:t>ESPN Thematic Report on Progress in the implementation of the 2013 EU Recommendation on “Investing in children: Breaking the cycle of disadvantage”: The Netherlands</w:t>
      </w:r>
      <w:r>
        <w:rPr>
          <w:lang w:val="en-US"/>
        </w:rPr>
        <w:t xml:space="preserve"> (</w:t>
      </w:r>
      <w:r w:rsidRPr="00CD4837">
        <w:rPr>
          <w:lang w:val="en-US"/>
        </w:rPr>
        <w:t>Kruis and Van Waveren</w:t>
      </w:r>
      <w:r>
        <w:rPr>
          <w:lang w:val="en-US"/>
        </w:rPr>
        <w:t>, 2017).</w:t>
      </w:r>
    </w:p>
  </w:footnote>
  <w:footnote w:id="4">
    <w:p w14:paraId="57913C91" w14:textId="78923EC8" w:rsidR="00144401" w:rsidRPr="006E01D1" w:rsidRDefault="00144401">
      <w:pPr>
        <w:pStyle w:val="Voetnoottekst"/>
        <w:rPr>
          <w:lang w:val="en-US"/>
        </w:rPr>
      </w:pPr>
      <w:r>
        <w:rPr>
          <w:rStyle w:val="Voetnootmarkering"/>
        </w:rPr>
        <w:footnoteRef/>
      </w:r>
      <w:r w:rsidRPr="006E01D1">
        <w:rPr>
          <w:lang w:val="en-US"/>
        </w:rPr>
        <w:t xml:space="preserve"> As </w:t>
      </w:r>
      <w:r>
        <w:rPr>
          <w:lang w:val="en-US"/>
        </w:rPr>
        <w:t xml:space="preserve">there </w:t>
      </w:r>
      <w:r w:rsidRPr="006E01D1">
        <w:rPr>
          <w:lang w:val="en-US"/>
        </w:rPr>
        <w:t xml:space="preserve">are no data available </w:t>
      </w:r>
      <w:r>
        <w:rPr>
          <w:lang w:val="en-US"/>
        </w:rPr>
        <w:t xml:space="preserve">on the subgroups ‘Left behind </w:t>
      </w:r>
      <w:r w:rsidRPr="00AE38CA">
        <w:rPr>
          <w:lang w:val="en-US"/>
        </w:rPr>
        <w:t>children’ in the Netherlands</w:t>
      </w:r>
      <w:r>
        <w:rPr>
          <w:lang w:val="en-US"/>
        </w:rPr>
        <w:t xml:space="preserve">, this section is limited to the description of the groups ‘Low </w:t>
      </w:r>
      <w:r w:rsidRPr="008D431B">
        <w:rPr>
          <w:lang w:val="en-US"/>
        </w:rPr>
        <w:t xml:space="preserve">income/low SES’ </w:t>
      </w:r>
      <w:r w:rsidRPr="00AE38CA">
        <w:rPr>
          <w:lang w:val="en-US"/>
        </w:rPr>
        <w:t>and ‘Children living in single-adult households’</w:t>
      </w:r>
      <w:r w:rsidR="00DB6EE7" w:rsidRPr="00AE38CA">
        <w:rPr>
          <w:lang w:val="en-US"/>
        </w:rPr>
        <w:t xml:space="preserve"> and ‘Roma</w:t>
      </w:r>
      <w:r w:rsidR="000D1BC1" w:rsidRPr="00AE38CA">
        <w:rPr>
          <w:lang w:val="en-US"/>
        </w:rPr>
        <w:t xml:space="preserve"> children</w:t>
      </w:r>
      <w:r w:rsidR="00DB6EE7" w:rsidRPr="00AE38CA">
        <w:rPr>
          <w:lang w:val="en-US"/>
        </w:rPr>
        <w:t>’</w:t>
      </w:r>
      <w:r w:rsidRPr="00AE38CA">
        <w:rPr>
          <w:lang w:val="en-US"/>
        </w:rPr>
        <w:t>.</w:t>
      </w:r>
    </w:p>
  </w:footnote>
  <w:footnote w:id="5">
    <w:p w14:paraId="3DCF8DC9" w14:textId="45981512" w:rsidR="0094069A" w:rsidRPr="00EF79F6" w:rsidRDefault="0094069A">
      <w:pPr>
        <w:pStyle w:val="Voetnoottekst"/>
        <w:rPr>
          <w:lang w:val="en-US"/>
        </w:rPr>
      </w:pPr>
      <w:r w:rsidRPr="00044348">
        <w:rPr>
          <w:rStyle w:val="Voetnootmarkering"/>
        </w:rPr>
        <w:footnoteRef/>
      </w:r>
      <w:r w:rsidRPr="00044348">
        <w:t xml:space="preserve"> </w:t>
      </w:r>
      <w:r w:rsidR="00EE00D5" w:rsidRPr="00044348">
        <w:rPr>
          <w:bCs/>
          <w:iCs/>
          <w:lang w:val="en-US"/>
        </w:rPr>
        <w:t>Article 26:</w:t>
      </w:r>
      <w:r w:rsidR="00EE00D5" w:rsidRPr="00044348">
        <w:rPr>
          <w:iCs/>
          <w:lang w:val="en-US"/>
        </w:rPr>
        <w:t xml:space="preserve"> no independent right of children to social insurance is accepted; social insurance for children is in many cases a right of the parents. </w:t>
      </w:r>
      <w:r w:rsidR="00EE00D5" w:rsidRPr="00044348">
        <w:rPr>
          <w:bCs/>
          <w:iCs/>
          <w:lang w:val="en-US"/>
        </w:rPr>
        <w:t>Article 37:</w:t>
      </w:r>
      <w:r w:rsidR="00EE00D5" w:rsidRPr="00044348">
        <w:rPr>
          <w:iCs/>
          <w:lang w:val="en-US"/>
        </w:rPr>
        <w:t xml:space="preserve"> it must be possible to apply adult criminal law to children sixteen years of age and older; this is in accordance with current criminal law. </w:t>
      </w:r>
      <w:r w:rsidR="00EE00D5" w:rsidRPr="00044348">
        <w:rPr>
          <w:bCs/>
          <w:iCs/>
          <w:lang w:val="en-US"/>
        </w:rPr>
        <w:t>Article 40:</w:t>
      </w:r>
      <w:r w:rsidR="00EE00D5" w:rsidRPr="00044348">
        <w:rPr>
          <w:iCs/>
          <w:lang w:val="en-US"/>
        </w:rPr>
        <w:t xml:space="preserve"> for minor offences it must be possible to resolve a case without counsel and without appeal.</w:t>
      </w:r>
    </w:p>
  </w:footnote>
  <w:footnote w:id="6">
    <w:p w14:paraId="406E9B29" w14:textId="24CB26E3" w:rsidR="00144401" w:rsidRPr="00EE7816" w:rsidRDefault="00144401" w:rsidP="00110B46">
      <w:pPr>
        <w:pStyle w:val="Voetnoottekst"/>
        <w:rPr>
          <w:lang w:val="en-US"/>
        </w:rPr>
      </w:pPr>
    </w:p>
  </w:footnote>
  <w:footnote w:id="7">
    <w:p w14:paraId="6E434CE8" w14:textId="77777777" w:rsidR="00144401" w:rsidRPr="00350B3A" w:rsidRDefault="00144401" w:rsidP="00110B46">
      <w:pPr>
        <w:pStyle w:val="Voetnoottekst"/>
        <w:rPr>
          <w:lang w:val="en-US"/>
        </w:rPr>
      </w:pPr>
      <w:r w:rsidRPr="00350B3A">
        <w:rPr>
          <w:rStyle w:val="Voetnootmarkering"/>
        </w:rPr>
        <w:footnoteRef/>
      </w:r>
      <w:r w:rsidRPr="00350B3A">
        <w:rPr>
          <w:lang w:val="en-US"/>
        </w:rPr>
        <w:t xml:space="preserve"> The Dutch government is committed to decrease the percentage of youth being overweight from 13.5% </w:t>
      </w:r>
      <w:r>
        <w:rPr>
          <w:lang w:val="en-US"/>
        </w:rPr>
        <w:t xml:space="preserve">in 2017 </w:t>
      </w:r>
      <w:r w:rsidRPr="00350B3A">
        <w:rPr>
          <w:lang w:val="en-US"/>
        </w:rPr>
        <w:t>to 9,1% by 20</w:t>
      </w:r>
      <w:r>
        <w:rPr>
          <w:lang w:val="en-US"/>
        </w:rPr>
        <w:t>40</w:t>
      </w:r>
      <w:r w:rsidRPr="00350B3A">
        <w:rPr>
          <w:lang w:val="en-US"/>
        </w:rPr>
        <w:t xml:space="preserve">, and the percentage of youth being obese from 2.8% </w:t>
      </w:r>
      <w:r>
        <w:rPr>
          <w:lang w:val="en-US"/>
        </w:rPr>
        <w:t xml:space="preserve">in 2017 </w:t>
      </w:r>
      <w:r w:rsidRPr="00350B3A">
        <w:rPr>
          <w:lang w:val="en-US"/>
        </w:rPr>
        <w:t>to 2,3% by 2040.</w:t>
      </w:r>
    </w:p>
  </w:footnote>
  <w:footnote w:id="8">
    <w:p w14:paraId="1F64E0D8" w14:textId="77777777" w:rsidR="00144401" w:rsidRDefault="00144401" w:rsidP="005B7C75">
      <w:pPr>
        <w:pStyle w:val="Voetnoottekst"/>
      </w:pPr>
      <w:r>
        <w:rPr>
          <w:rStyle w:val="Voetnootmarkering"/>
        </w:rPr>
        <w:footnoteRef/>
      </w:r>
      <w:r>
        <w:t xml:space="preserve"> Based on:</w:t>
      </w:r>
    </w:p>
    <w:p w14:paraId="21B25A3A" w14:textId="77777777" w:rsidR="00144401" w:rsidRDefault="00144401" w:rsidP="005B7C75">
      <w:pPr>
        <w:pStyle w:val="Voetnoottekst"/>
        <w:rPr>
          <w:rStyle w:val="Hyperlink"/>
          <w:color w:val="auto"/>
          <w:u w:val="none"/>
        </w:rPr>
      </w:pPr>
      <w:r>
        <w:t xml:space="preserve">- </w:t>
      </w:r>
      <w:r w:rsidRPr="001C1955">
        <w:rPr>
          <w:rStyle w:val="Hyperlink"/>
          <w:color w:val="auto"/>
          <w:u w:val="none"/>
        </w:rPr>
        <w:t>European Agency for Special Needs and Inclusive Educatio</w:t>
      </w:r>
      <w:r>
        <w:rPr>
          <w:rStyle w:val="Hyperlink"/>
          <w:color w:val="auto"/>
          <w:u w:val="none"/>
        </w:rPr>
        <w:t xml:space="preserve">n (2018); </w:t>
      </w:r>
    </w:p>
    <w:p w14:paraId="685D71B9" w14:textId="77777777" w:rsidR="00144401" w:rsidRDefault="00144401" w:rsidP="005B7C75">
      <w:pPr>
        <w:pStyle w:val="Voetnoottekst"/>
        <w:rPr>
          <w:rStyle w:val="Hyperlink"/>
          <w:color w:val="auto"/>
          <w:u w:val="none"/>
        </w:rPr>
      </w:pPr>
      <w:r>
        <w:rPr>
          <w:rStyle w:val="Hyperlink"/>
          <w:color w:val="auto"/>
          <w:u w:val="none"/>
        </w:rPr>
        <w:t xml:space="preserve">- </w:t>
      </w:r>
      <w:r w:rsidRPr="00AA1618">
        <w:rPr>
          <w:rStyle w:val="Hyperlink"/>
          <w:color w:val="auto"/>
          <w:u w:val="none"/>
        </w:rPr>
        <w:t>TIMSS &amp; PIRLS International Study Center</w:t>
      </w:r>
      <w:r>
        <w:rPr>
          <w:rStyle w:val="Hyperlink"/>
          <w:color w:val="auto"/>
          <w:u w:val="none"/>
        </w:rPr>
        <w:t xml:space="preserve"> (2016);</w:t>
      </w:r>
    </w:p>
    <w:p w14:paraId="53A395FF" w14:textId="6764CBB5" w:rsidR="00144401" w:rsidRPr="00C024C0" w:rsidRDefault="00144401" w:rsidP="00585500">
      <w:pPr>
        <w:pStyle w:val="Voetnoottekst"/>
      </w:pPr>
      <w:r>
        <w:rPr>
          <w:rStyle w:val="Hyperlink"/>
          <w:color w:val="auto"/>
          <w:u w:val="none"/>
        </w:rPr>
        <w:t xml:space="preserve">- </w:t>
      </w:r>
      <w:r w:rsidRPr="00C43AD6">
        <w:rPr>
          <w:rStyle w:val="Hyperlink"/>
          <w:color w:val="auto"/>
          <w:u w:val="none"/>
        </w:rPr>
        <w:t>Education Council of the Netherlands</w:t>
      </w:r>
      <w:r>
        <w:rPr>
          <w:rStyle w:val="Hyperlink"/>
          <w:color w:val="auto"/>
          <w:u w:val="none"/>
        </w:rPr>
        <w:t xml:space="preserve"> (n.d.)</w:t>
      </w:r>
      <w:r w:rsidRPr="00C43AD6">
        <w:rPr>
          <w:rStyle w:val="Hyperlink"/>
          <w:color w:val="auto"/>
          <w:u w:val="none"/>
        </w:rPr>
        <w:t>.</w:t>
      </w:r>
      <w:r w:rsidRPr="00C024C0">
        <w:t xml:space="preserve"> </w:t>
      </w:r>
    </w:p>
  </w:footnote>
  <w:footnote w:id="9">
    <w:p w14:paraId="45BE30CD" w14:textId="6322D104" w:rsidR="00144401" w:rsidRPr="002C6C96" w:rsidRDefault="00144401" w:rsidP="007F6DC1">
      <w:pPr>
        <w:pStyle w:val="Voetnoottekst"/>
        <w:rPr>
          <w:lang w:bidi="en-GB"/>
        </w:rPr>
      </w:pPr>
      <w:r w:rsidRPr="00E465C0">
        <w:rPr>
          <w:rStyle w:val="Voetnootmarkering"/>
        </w:rPr>
        <w:footnoteRef/>
      </w:r>
      <w:r w:rsidRPr="00E465C0">
        <w:rPr>
          <w:lang w:val="en-US"/>
        </w:rPr>
        <w:t xml:space="preserve"> </w:t>
      </w:r>
      <w:r w:rsidRPr="00E465C0">
        <w:rPr>
          <w:lang w:bidi="en-GB"/>
        </w:rPr>
        <w:t xml:space="preserve">These quality standards are written down in various acts for each type of education: </w:t>
      </w:r>
      <w:r w:rsidRPr="00E465C0">
        <w:rPr>
          <w:lang w:val="en-US"/>
        </w:rPr>
        <w:t>Primary Education Act</w:t>
      </w:r>
      <w:r w:rsidRPr="00C15F4F">
        <w:rPr>
          <w:lang w:val="en-US"/>
        </w:rPr>
        <w:t xml:space="preserve"> (WPO)</w:t>
      </w:r>
      <w:r>
        <w:rPr>
          <w:lang w:val="en-US"/>
        </w:rPr>
        <w:t xml:space="preserve">, </w:t>
      </w:r>
      <w:r w:rsidRPr="00C15F4F">
        <w:rPr>
          <w:lang w:val="en-US"/>
        </w:rPr>
        <w:t xml:space="preserve">Special education: </w:t>
      </w:r>
      <w:r w:rsidRPr="002C6C96">
        <w:rPr>
          <w:lang w:bidi="en-GB"/>
        </w:rPr>
        <w:t>Expertise Centres Act (WEC), Secondary Education Act (WVO), Adult and Vocational Education Act (WEB), Higher Education and Research Act (WHO).</w:t>
      </w:r>
    </w:p>
  </w:footnote>
  <w:footnote w:id="10">
    <w:p w14:paraId="4D0014DC" w14:textId="21207C2D" w:rsidR="00144401" w:rsidRPr="00074151" w:rsidRDefault="00144401">
      <w:pPr>
        <w:pStyle w:val="Voetnoottekst"/>
        <w:rPr>
          <w:lang w:val="nl-NL"/>
        </w:rPr>
      </w:pPr>
      <w:r>
        <w:rPr>
          <w:rStyle w:val="Voetnootmarkering"/>
        </w:rPr>
        <w:footnoteRef/>
      </w:r>
      <w:r w:rsidRPr="00074151">
        <w:rPr>
          <w:lang w:val="nl-NL"/>
        </w:rPr>
        <w:t xml:space="preserve"> </w:t>
      </w:r>
      <w:r>
        <w:rPr>
          <w:lang w:val="nl-NL"/>
        </w:rPr>
        <w:t>In Dutch called the ‘</w:t>
      </w:r>
      <w:r w:rsidRPr="00074151">
        <w:rPr>
          <w:lang w:val="nl-NL"/>
        </w:rPr>
        <w:t>Algemene Wet Bijzondere Ziektekosten (AWBZ)</w:t>
      </w:r>
      <w:r>
        <w:rPr>
          <w:lang w:val="nl-NL"/>
        </w:rPr>
        <w:t>’</w:t>
      </w:r>
    </w:p>
  </w:footnote>
  <w:footnote w:id="11">
    <w:p w14:paraId="5F3EDFFB" w14:textId="5D0DB98D" w:rsidR="00144401" w:rsidRPr="00BC225E" w:rsidRDefault="00144401" w:rsidP="009519EC">
      <w:pPr>
        <w:pStyle w:val="Voetnoottekst"/>
        <w:rPr>
          <w:lang w:val="nl-NL"/>
        </w:rPr>
      </w:pPr>
      <w:r>
        <w:rPr>
          <w:rStyle w:val="Voetnootmarkering"/>
        </w:rPr>
        <w:footnoteRef/>
      </w:r>
      <w:r w:rsidRPr="00BC225E">
        <w:rPr>
          <w:lang w:val="nl-NL"/>
        </w:rPr>
        <w:t xml:space="preserve"> </w:t>
      </w:r>
      <w:r w:rsidRPr="00BD2315">
        <w:rPr>
          <w:lang w:val="nl-NL"/>
        </w:rPr>
        <w:t xml:space="preserve">Friele, R.D., Bruning, M.R., Bastiaanssen, I.L.W., et al., </w:t>
      </w:r>
      <w:r w:rsidRPr="00BD2315">
        <w:rPr>
          <w:i/>
          <w:lang w:val="nl-NL"/>
        </w:rPr>
        <w:t>Eerste evaluatie Jeugdwet</w:t>
      </w:r>
      <w:r w:rsidRPr="00BD2315">
        <w:rPr>
          <w:lang w:val="nl-NL"/>
        </w:rPr>
        <w:t xml:space="preserve">, </w:t>
      </w:r>
      <w:r w:rsidRPr="00BD2315">
        <w:rPr>
          <w:rFonts w:cs="TheSansOffice"/>
          <w:szCs w:val="16"/>
          <w:lang w:val="nl-NL" w:eastAsia="nl-NL"/>
        </w:rPr>
        <w:t>ZonMw</w:t>
      </w:r>
      <w:r>
        <w:rPr>
          <w:rFonts w:cs="TheSansOffice"/>
          <w:szCs w:val="16"/>
          <w:lang w:val="nl-NL" w:eastAsia="nl-NL"/>
        </w:rPr>
        <w:t>,</w:t>
      </w:r>
      <w:r w:rsidRPr="00BD2315">
        <w:rPr>
          <w:rFonts w:cs="TheSansOffice"/>
          <w:szCs w:val="16"/>
          <w:lang w:val="nl-NL" w:eastAsia="nl-NL"/>
        </w:rPr>
        <w:t xml:space="preserve"> The Hague, 2018.</w:t>
      </w:r>
    </w:p>
  </w:footnote>
  <w:footnote w:id="12">
    <w:p w14:paraId="1E1A28E2" w14:textId="77777777" w:rsidR="00144401" w:rsidRPr="00F00D97" w:rsidRDefault="00144401" w:rsidP="00D419DD">
      <w:pPr>
        <w:pStyle w:val="Voetnoottekst"/>
      </w:pPr>
      <w:r>
        <w:rPr>
          <w:rStyle w:val="Voetnootmarkering"/>
        </w:rPr>
        <w:footnoteRef/>
      </w:r>
      <w:r>
        <w:t xml:space="preserve"> See for example the website of</w:t>
      </w:r>
      <w:r w:rsidRPr="00695E04">
        <w:t xml:space="preserve"> </w:t>
      </w:r>
      <w:r>
        <w:t xml:space="preserve">the </w:t>
      </w:r>
      <w:r w:rsidRPr="00695E04">
        <w:t>Ministry of the Interior and Kingdom Relations</w:t>
      </w:r>
      <w:r>
        <w:t xml:space="preserve">: </w:t>
      </w:r>
      <w:hyperlink r:id="rId1" w:history="1">
        <w:r w:rsidRPr="00090A91">
          <w:rPr>
            <w:rStyle w:val="Hyperlink"/>
          </w:rPr>
          <w:t>https://www.government.nl/topics/investing-in-dutch-housing/investing-in-rental-market</w:t>
        </w:r>
      </w:hyperlink>
      <w:r>
        <w:t xml:space="preserve"> </w:t>
      </w:r>
    </w:p>
  </w:footnote>
  <w:footnote w:id="13">
    <w:p w14:paraId="7B2E3143" w14:textId="514587D3" w:rsidR="00144401" w:rsidRPr="00A96DA0" w:rsidRDefault="00144401" w:rsidP="00164C22">
      <w:pPr>
        <w:pStyle w:val="Voetnoottekst"/>
      </w:pPr>
      <w:r w:rsidRPr="008E1EDE">
        <w:rPr>
          <w:rStyle w:val="Voetnootmarkering"/>
          <w:szCs w:val="16"/>
        </w:rPr>
        <w:footnoteRef/>
      </w:r>
      <w:r w:rsidRPr="008E1EDE">
        <w:t xml:space="preserve"> This </w:t>
      </w:r>
      <w:r>
        <w:t>includes</w:t>
      </w:r>
      <w:r w:rsidRPr="008E1EDE">
        <w:t xml:space="preserve"> pre-school education. Early school education, for children from 4 to 6 years old, is provided by primary schools. Although children are </w:t>
      </w:r>
      <w:r>
        <w:t>required</w:t>
      </w:r>
      <w:r w:rsidRPr="008E1EDE">
        <w:t xml:space="preserve"> to</w:t>
      </w:r>
      <w:r>
        <w:t xml:space="preserve"> attend </w:t>
      </w:r>
      <w:r w:rsidRPr="008E1EDE">
        <w:t xml:space="preserve">primary school when they are five years old, almost all children start </w:t>
      </w:r>
      <w:r w:rsidRPr="00A96DA0">
        <w:t xml:space="preserve">at age four. Schools receive extra budgets for children from low-educated parents. </w:t>
      </w:r>
    </w:p>
  </w:footnote>
  <w:footnote w:id="14">
    <w:p w14:paraId="3624C1F7" w14:textId="714DCAF6" w:rsidR="00144401" w:rsidRPr="00A96DA0" w:rsidRDefault="00144401" w:rsidP="00164C22">
      <w:pPr>
        <w:pStyle w:val="Voetnoottekst"/>
      </w:pPr>
      <w:r w:rsidRPr="00A96DA0">
        <w:rPr>
          <w:rStyle w:val="Voetnootmarkering"/>
          <w:szCs w:val="16"/>
        </w:rPr>
        <w:footnoteRef/>
      </w:r>
      <w:r w:rsidRPr="00A96DA0">
        <w:t xml:space="preserve"> The central government provides municipalities with funding. Municipalities are free to add extra funding to the VVE-budget they receive.</w:t>
      </w:r>
    </w:p>
  </w:footnote>
  <w:footnote w:id="15">
    <w:p w14:paraId="3B31E67D" w14:textId="77777777" w:rsidR="00144401" w:rsidRPr="008E1EDE" w:rsidRDefault="00144401" w:rsidP="00164C22">
      <w:pPr>
        <w:pStyle w:val="Voetnoottekst"/>
      </w:pPr>
      <w:r w:rsidRPr="00A96DA0">
        <w:rPr>
          <w:rStyle w:val="Voetnootmarkering"/>
          <w:szCs w:val="16"/>
        </w:rPr>
        <w:footnoteRef/>
      </w:r>
      <w:r w:rsidRPr="00A96DA0">
        <w:t xml:space="preserve"> In practice, children who are not part of the target group also attend these groups. This is partly desired because target</w:t>
      </w:r>
      <w:r w:rsidRPr="008E1EDE">
        <w:t xml:space="preserve"> group children are expected to learn from non-target group children. Extra funding has been made available to establish so-called mixed groups.</w:t>
      </w:r>
    </w:p>
  </w:footnote>
  <w:footnote w:id="16">
    <w:p w14:paraId="64D94F7D" w14:textId="77777777" w:rsidR="00144401" w:rsidRPr="00642CE3" w:rsidRDefault="00144401" w:rsidP="00642CE3">
      <w:pPr>
        <w:pStyle w:val="Voetnoottekst"/>
        <w:rPr>
          <w:lang w:val="en-US"/>
        </w:rPr>
      </w:pPr>
      <w:r>
        <w:rPr>
          <w:rStyle w:val="Voetnootmarkering"/>
        </w:rPr>
        <w:footnoteRef/>
      </w:r>
      <w:r w:rsidRPr="00CF02C2">
        <w:rPr>
          <w:lang w:val="en-US"/>
        </w:rPr>
        <w:t xml:space="preserve"> </w:t>
      </w:r>
      <w:r>
        <w:rPr>
          <w:lang w:val="en-US"/>
        </w:rPr>
        <w:t xml:space="preserve">The main part of this paragraph is </w:t>
      </w:r>
      <w:r w:rsidRPr="00CF02C2">
        <w:rPr>
          <w:lang w:val="en-US"/>
        </w:rPr>
        <w:t xml:space="preserve">published </w:t>
      </w:r>
      <w:r>
        <w:rPr>
          <w:lang w:val="en-US"/>
        </w:rPr>
        <w:t xml:space="preserve">earlier </w:t>
      </w:r>
      <w:r w:rsidRPr="00CF02C2">
        <w:rPr>
          <w:lang w:val="en-US"/>
        </w:rPr>
        <w:t>in</w:t>
      </w:r>
      <w:r>
        <w:rPr>
          <w:lang w:val="en-US"/>
        </w:rPr>
        <w:t>:</w:t>
      </w:r>
      <w:r w:rsidRPr="00CF02C2">
        <w:rPr>
          <w:lang w:val="en-US"/>
        </w:rPr>
        <w:t xml:space="preserve"> </w:t>
      </w:r>
      <w:r w:rsidRPr="00CD4837">
        <w:rPr>
          <w:lang w:val="en-US"/>
        </w:rPr>
        <w:t xml:space="preserve">Kruis, G. and Van Waveren, R.C.. </w:t>
      </w:r>
      <w:r w:rsidRPr="0019049D">
        <w:rPr>
          <w:i/>
        </w:rPr>
        <w:t xml:space="preserve">ESPN Thematic Report on Progress in the implementation of the 2013 EU Recommendation on “Investing in children: Breaking the cycle of disadvantage”: </w:t>
      </w:r>
      <w:r w:rsidRPr="00120346">
        <w:rPr>
          <w:i/>
        </w:rPr>
        <w:t>The Netherlands</w:t>
      </w:r>
      <w:r>
        <w:rPr>
          <w:i/>
        </w:rPr>
        <w:t>.</w:t>
      </w:r>
      <w:r>
        <w:t xml:space="preserve"> </w:t>
      </w:r>
      <w:r w:rsidRPr="00642CE3">
        <w:rPr>
          <w:lang w:val="en-US"/>
        </w:rPr>
        <w:t>Amsterdam/Brussels: Regioplan/European Commission, 2017.</w:t>
      </w:r>
    </w:p>
  </w:footnote>
  <w:footnote w:id="17">
    <w:p w14:paraId="5C06D128" w14:textId="7F1644A2" w:rsidR="00144401" w:rsidRPr="00041E7E" w:rsidRDefault="00144401" w:rsidP="00315DC0">
      <w:pPr>
        <w:pStyle w:val="Voetnoottekst"/>
        <w:rPr>
          <w:szCs w:val="16"/>
        </w:rPr>
      </w:pPr>
      <w:r w:rsidRPr="00041E7E">
        <w:rPr>
          <w:rStyle w:val="Voetnootmarkering"/>
          <w:szCs w:val="16"/>
        </w:rPr>
        <w:footnoteRef/>
      </w:r>
      <w:r w:rsidRPr="00041E7E">
        <w:rPr>
          <w:szCs w:val="16"/>
        </w:rPr>
        <w:t xml:space="preserve"> </w:t>
      </w:r>
      <w:r w:rsidRPr="00041E7E">
        <w:rPr>
          <w:szCs w:val="16"/>
          <w:lang w:eastAsia="ar-SA"/>
        </w:rPr>
        <w:t>Minor children of asylum seekers, regardless of their status, are entitled to education. Within 3 months after arrival in the reception centre children (5-17 years) have to be enrolled at a school. Many reception centres have their own primary school but also designated regular schools receive refugee children. Generally special classes are formed at these schools for a period of one year in which the children learn the Dutch language from specifically trained teacher. After this year children are integrated in the regular school classes. Children who have to enrol in secondary education are first placed in an international intermediate class for one year before entering the regular school system.</w:t>
      </w:r>
    </w:p>
  </w:footnote>
  <w:footnote w:id="18">
    <w:p w14:paraId="70841BA0" w14:textId="61D90985" w:rsidR="00144401" w:rsidRPr="00FD5483" w:rsidRDefault="00144401" w:rsidP="00FD5483">
      <w:pPr>
        <w:pStyle w:val="Voetnoottekst"/>
        <w:rPr>
          <w:lang w:val="en-US"/>
        </w:rPr>
      </w:pPr>
      <w:r>
        <w:rPr>
          <w:rStyle w:val="Voetnootmarkering"/>
        </w:rPr>
        <w:footnoteRef/>
      </w:r>
      <w:r w:rsidRPr="00CF02C2">
        <w:rPr>
          <w:lang w:val="en-US"/>
        </w:rPr>
        <w:t xml:space="preserve"> </w:t>
      </w:r>
      <w:r>
        <w:rPr>
          <w:lang w:val="en-US"/>
        </w:rPr>
        <w:t xml:space="preserve">The main part of this section was </w:t>
      </w:r>
      <w:r w:rsidRPr="00CF02C2">
        <w:rPr>
          <w:lang w:val="en-US"/>
        </w:rPr>
        <w:t xml:space="preserve">published </w:t>
      </w:r>
      <w:r>
        <w:rPr>
          <w:lang w:val="en-US"/>
        </w:rPr>
        <w:t xml:space="preserve">earlier </w:t>
      </w:r>
      <w:r w:rsidRPr="00CF02C2">
        <w:rPr>
          <w:lang w:val="en-US"/>
        </w:rPr>
        <w:t>in</w:t>
      </w:r>
      <w:r>
        <w:rPr>
          <w:lang w:val="en-US"/>
        </w:rPr>
        <w:t>:</w:t>
      </w:r>
      <w:r w:rsidRPr="00CF02C2">
        <w:rPr>
          <w:lang w:val="en-US"/>
        </w:rPr>
        <w:t xml:space="preserve"> </w:t>
      </w:r>
      <w:r w:rsidRPr="0019049D">
        <w:rPr>
          <w:i/>
        </w:rPr>
        <w:t>ESPN Thematic Report on Progress in the implementation of the 2013 EU Recommendation on “Investing in children: Breaking the cycle of disadvantage”</w:t>
      </w:r>
      <w:r>
        <w:rPr>
          <w:i/>
        </w:rPr>
        <w:t xml:space="preserve"> </w:t>
      </w:r>
      <w:r w:rsidRPr="0019532E">
        <w:t xml:space="preserve">by </w:t>
      </w:r>
      <w:r w:rsidRPr="00CD4837">
        <w:rPr>
          <w:lang w:val="en-US"/>
        </w:rPr>
        <w:t>Kruis</w:t>
      </w:r>
      <w:r>
        <w:rPr>
          <w:lang w:val="en-US"/>
        </w:rPr>
        <w:t xml:space="preserve"> and</w:t>
      </w:r>
      <w:r w:rsidRPr="00CD4837">
        <w:rPr>
          <w:lang w:val="en-US"/>
        </w:rPr>
        <w:t xml:space="preserve"> Van Waveren</w:t>
      </w:r>
      <w:r>
        <w:rPr>
          <w:lang w:val="en-US"/>
        </w:rPr>
        <w:t xml:space="preserve"> (2017).</w:t>
      </w:r>
    </w:p>
  </w:footnote>
  <w:footnote w:id="19">
    <w:p w14:paraId="7EEA8B53" w14:textId="77777777" w:rsidR="00144401" w:rsidRPr="008C384E" w:rsidRDefault="00144401" w:rsidP="00A21787">
      <w:pPr>
        <w:pStyle w:val="Voetnoottekst"/>
      </w:pPr>
      <w:r>
        <w:rPr>
          <w:rStyle w:val="Voetnootmarkering"/>
        </w:rPr>
        <w:footnoteRef/>
      </w:r>
      <w:r>
        <w:t xml:space="preserve"> </w:t>
      </w:r>
      <w:r w:rsidRPr="008C384E">
        <w:t xml:space="preserve">See </w:t>
      </w:r>
      <w:r>
        <w:t>t</w:t>
      </w:r>
      <w:r w:rsidRPr="008C384E">
        <w:t xml:space="preserve">ables 2 and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8B8F" w14:textId="77777777" w:rsidR="00144401" w:rsidRDefault="00144401" w:rsidP="00614DBA">
    <w:pPr>
      <w:pStyle w:val="Koptekst"/>
      <w:tabs>
        <w:tab w:val="clear" w:pos="8306"/>
      </w:tabs>
      <w:ind w:right="-74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68B6" w14:textId="77777777" w:rsidR="00144401" w:rsidRPr="00AF7605" w:rsidRDefault="00144401" w:rsidP="00FD6134">
    <w:pPr>
      <w:pStyle w:val="Koptekst"/>
      <w:tabs>
        <w:tab w:val="clear" w:pos="8306"/>
        <w:tab w:val="left" w:pos="720"/>
        <w:tab w:val="right" w:pos="2268"/>
        <w:tab w:val="right" w:pos="9000"/>
      </w:tabs>
      <w:spacing w:after="0"/>
      <w:jc w:val="left"/>
      <w:rPr>
        <w:rFonts w:ascii="Verdana" w:hAnsi="Verdana"/>
        <w:color w:val="808080"/>
        <w:sz w:val="18"/>
        <w:szCs w:val="18"/>
      </w:rPr>
    </w:pPr>
    <w:r>
      <w:rPr>
        <w:rFonts w:ascii="Verdana" w:hAnsi="Verdana"/>
        <w:color w:val="808080"/>
        <w:sz w:val="18"/>
        <w:szCs w:val="18"/>
      </w:rPr>
      <w:t>Country report</w:t>
    </w:r>
    <w:r>
      <w:rPr>
        <w:rFonts w:ascii="Verdana" w:hAnsi="Verdana"/>
        <w:color w:val="808080"/>
        <w:sz w:val="18"/>
        <w:szCs w:val="18"/>
      </w:rPr>
      <w:tab/>
    </w:r>
    <w:r>
      <w:rPr>
        <w:rFonts w:ascii="Verdana" w:hAnsi="Verdana"/>
        <w:color w:val="808080"/>
        <w:sz w:val="18"/>
        <w:szCs w:val="18"/>
      </w:rPr>
      <w:tab/>
    </w:r>
    <w:r>
      <w:rPr>
        <w:rFonts w:ascii="Verdana" w:hAnsi="Verdana"/>
        <w:color w:val="808080"/>
        <w:sz w:val="18"/>
        <w:szCs w:val="18"/>
      </w:rPr>
      <w:tab/>
      <w:t>[Netherlands]</w:t>
    </w:r>
  </w:p>
  <w:p w14:paraId="3B99D3BA" w14:textId="77777777" w:rsidR="00144401" w:rsidRPr="00E23E74" w:rsidRDefault="00144401" w:rsidP="00FD6134">
    <w:pPr>
      <w:pStyle w:val="Koptekst"/>
      <w:tabs>
        <w:tab w:val="clear" w:pos="8306"/>
        <w:tab w:val="right" w:pos="14601"/>
      </w:tabs>
      <w:spacing w:after="0"/>
      <w:rPr>
        <w:rFonts w:ascii="Verdana" w:hAnsi="Verdana"/>
        <w:color w:val="808080"/>
        <w:sz w:val="18"/>
        <w:szCs w:val="18"/>
      </w:rPr>
    </w:pPr>
    <w:r>
      <w:rPr>
        <w:rFonts w:ascii="Verdana" w:hAnsi="Verdana"/>
        <w:noProof/>
        <w:color w:val="808080"/>
        <w:sz w:val="18"/>
        <w:szCs w:val="18"/>
        <w:lang w:val="en-IE" w:eastAsia="en-IE"/>
      </w:rPr>
      <mc:AlternateContent>
        <mc:Choice Requires="wps">
          <w:drawing>
            <wp:anchor distT="4294967294" distB="4294967294" distL="114300" distR="114300" simplePos="0" relativeHeight="251658246" behindDoc="0" locked="0" layoutInCell="1" allowOverlap="1" wp14:anchorId="4C72DEC2" wp14:editId="6DD894A3">
              <wp:simplePos x="0" y="0"/>
              <wp:positionH relativeFrom="column">
                <wp:posOffset>-27305</wp:posOffset>
              </wp:positionH>
              <wp:positionV relativeFrom="margin">
                <wp:posOffset>-267336</wp:posOffset>
              </wp:positionV>
              <wp:extent cx="5742305" cy="0"/>
              <wp:effectExtent l="0" t="0" r="0" b="0"/>
              <wp:wrapNone/>
              <wp:docPr id="23"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230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388068" id="Straight Connector 60" o:spid="_x0000_s1026" style="position:absolute;z-index:2516582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margin;mso-width-percent:0;mso-height-percent:0;mso-width-relative:margin;mso-height-relative:page" from="-2.15pt,-21.05pt" to="45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" strokecolor="#7f7f7f">
              <o:lock v:ext="edit" shapetype="f"/>
              <w10:wrap anchory="margin"/>
            </v:line>
          </w:pict>
        </mc:Fallback>
      </mc:AlternateContent>
    </w:r>
    <w:r>
      <w:rPr>
        <w:rFonts w:ascii="Verdana" w:hAnsi="Verdana"/>
        <w:color w:val="808080"/>
        <w:sz w:val="18"/>
        <w:szCs w:val="18"/>
      </w:rPr>
      <w:t xml:space="preserve">  </w:t>
    </w:r>
  </w:p>
  <w:p w14:paraId="175C5699" w14:textId="77777777" w:rsidR="00144401" w:rsidRPr="00AB1726" w:rsidRDefault="00144401" w:rsidP="00FD6134">
    <w:pPr>
      <w:pStyle w:val="Koptekst"/>
    </w:pPr>
  </w:p>
  <w:p w14:paraId="799A0A69" w14:textId="0B31DAB8" w:rsidR="00144401" w:rsidRPr="00623ED0" w:rsidRDefault="00144401" w:rsidP="00614DBA">
    <w:pPr>
      <w:pStyle w:val="Koptekst"/>
      <w:tabs>
        <w:tab w:val="left" w:pos="7513"/>
      </w:tabs>
      <w:spacing w:after="0"/>
      <w:jc w:val="center"/>
      <w:rPr>
        <w:noProof/>
        <w:lang w:eastAsia="en-GB"/>
      </w:rPr>
    </w:pPr>
    <w:r>
      <w:rPr>
        <w:noProof/>
        <w:lang w:val="en-IE" w:eastAsia="en-IE"/>
      </w:rPr>
      <w:drawing>
        <wp:anchor distT="0" distB="0" distL="114300" distR="114300" simplePos="0" relativeHeight="251658245" behindDoc="1" locked="0" layoutInCell="1" allowOverlap="1" wp14:anchorId="79820E36" wp14:editId="79DF57FE">
          <wp:simplePos x="0" y="0"/>
          <wp:positionH relativeFrom="margin">
            <wp:posOffset>-2042795</wp:posOffset>
          </wp:positionH>
          <wp:positionV relativeFrom="margin">
            <wp:posOffset>146050</wp:posOffset>
          </wp:positionV>
          <wp:extent cx="7868285" cy="8188325"/>
          <wp:effectExtent l="0" t="0" r="0" b="0"/>
          <wp:wrapNone/>
          <wp:docPr id="5"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285" cy="8188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4211" w14:textId="50DFD853" w:rsidR="00144401" w:rsidRPr="00A56E72" w:rsidRDefault="00144401" w:rsidP="00614DBA">
    <w:pPr>
      <w:pStyle w:val="Koptekst"/>
      <w:tabs>
        <w:tab w:val="clear" w:pos="4153"/>
        <w:tab w:val="center" w:pos="4536"/>
        <w:tab w:val="left" w:pos="7513"/>
      </w:tabs>
      <w:spacing w:after="0"/>
      <w:jc w:val="center"/>
    </w:pPr>
    <w:r>
      <w:rPr>
        <w:noProof/>
        <w:lang w:val="en-IE" w:eastAsia="en-IE"/>
      </w:rPr>
      <w:drawing>
        <wp:anchor distT="0" distB="0" distL="114300" distR="114300" simplePos="0" relativeHeight="251658244" behindDoc="1" locked="0" layoutInCell="1" allowOverlap="1" wp14:anchorId="29FF63F9" wp14:editId="5A67882C">
          <wp:simplePos x="0" y="0"/>
          <wp:positionH relativeFrom="margin">
            <wp:posOffset>-1540510</wp:posOffset>
          </wp:positionH>
          <wp:positionV relativeFrom="margin">
            <wp:posOffset>252095</wp:posOffset>
          </wp:positionV>
          <wp:extent cx="7345045" cy="7423785"/>
          <wp:effectExtent l="0" t="0" r="0" b="0"/>
          <wp:wrapNone/>
          <wp:docPr id="31" name="Picture 4"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inline distT="0" distB="0" distL="0" distR="0" wp14:anchorId="45AB0952" wp14:editId="5D1076D8">
          <wp:extent cx="2295525" cy="1743075"/>
          <wp:effectExtent l="0" t="0" r="0" b="0"/>
          <wp:docPr id="32" name="Afbeelding 32"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 for Word EN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1743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E24F" w14:textId="77777777" w:rsidR="00144401" w:rsidRPr="00623ED0" w:rsidRDefault="00144401" w:rsidP="00357045">
    <w:pPr>
      <w:pStyle w:val="Koptekst"/>
      <w:tabs>
        <w:tab w:val="left" w:pos="7513"/>
      </w:tabs>
      <w:spacing w:after="0"/>
      <w:ind w:left="4153" w:hanging="4153"/>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9E3F" w14:textId="77777777" w:rsidR="00144401" w:rsidRPr="00623ED0" w:rsidRDefault="00144401" w:rsidP="00357045">
    <w:pPr>
      <w:pStyle w:val="Koptekst"/>
      <w:jc w:val="center"/>
      <w:rPr>
        <w:lang w:val="fr-BE"/>
      </w:rPr>
    </w:pPr>
    <w:r w:rsidRPr="008E283C">
      <w:rPr>
        <w:rFonts w:ascii="Verdana" w:hAnsi="Verdana"/>
        <w:color w:val="808080"/>
        <w:sz w:val="20"/>
        <w:lang w:val="fr-BE"/>
      </w:rPr>
      <w:t>EUROPEAN COMMISSION</w:t>
    </w:r>
  </w:p>
  <w:p w14:paraId="1AC99DC5" w14:textId="77777777" w:rsidR="00144401" w:rsidRPr="00623ED0" w:rsidRDefault="00144401" w:rsidP="00357045">
    <w:pPr>
      <w:pStyle w:val="Koptekst"/>
      <w:tabs>
        <w:tab w:val="left" w:pos="7513"/>
      </w:tabs>
      <w:spacing w:after="0"/>
      <w:ind w:left="4153" w:hanging="4153"/>
      <w:rPr>
        <w:lang w:val="fr-B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8369" w14:textId="77777777" w:rsidR="00144401" w:rsidRPr="00363B4F" w:rsidRDefault="00144401" w:rsidP="00363B4F">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31DF" w14:textId="77777777" w:rsidR="00144401" w:rsidRPr="00623ED0" w:rsidRDefault="00144401" w:rsidP="00357045">
    <w:pPr>
      <w:pStyle w:val="Koptekst"/>
      <w:tabs>
        <w:tab w:val="left" w:pos="7513"/>
      </w:tabs>
      <w:spacing w:after="0"/>
      <w:ind w:left="4153" w:hanging="4153"/>
      <w:rPr>
        <w:lang w:val="fr-B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DCB9" w14:textId="77777777" w:rsidR="00144401" w:rsidRDefault="00144401" w:rsidP="00363B4F">
    <w:pPr>
      <w:pStyle w:val="Koptekst"/>
      <w:tabs>
        <w:tab w:val="clear" w:pos="8306"/>
        <w:tab w:val="right" w:pos="9073"/>
      </w:tabs>
      <w:spacing w:after="0"/>
      <w:jc w:val="left"/>
      <w:rPr>
        <w:rFonts w:ascii="Verdana" w:hAnsi="Verdana"/>
        <w:color w:val="808080"/>
        <w:sz w:val="18"/>
        <w:szCs w:val="18"/>
      </w:rPr>
    </w:pPr>
  </w:p>
  <w:p w14:paraId="46FD7C93" w14:textId="77777777" w:rsidR="00144401" w:rsidRDefault="00144401" w:rsidP="00363B4F">
    <w:pPr>
      <w:pStyle w:val="Koptekst"/>
      <w:tabs>
        <w:tab w:val="clear" w:pos="8306"/>
        <w:tab w:val="right" w:pos="8789"/>
      </w:tabs>
      <w:spacing w:after="0"/>
      <w:jc w:val="left"/>
      <w:rPr>
        <w:rFonts w:ascii="Verdana" w:hAnsi="Verdana"/>
        <w:color w:val="808080"/>
        <w:sz w:val="18"/>
        <w:szCs w:val="18"/>
      </w:rPr>
    </w:pPr>
  </w:p>
  <w:p w14:paraId="05A0E54E" w14:textId="3150369E" w:rsidR="00144401" w:rsidRPr="00AF7605" w:rsidRDefault="00144401" w:rsidP="00363B4F">
    <w:pPr>
      <w:pStyle w:val="Koptekst"/>
      <w:tabs>
        <w:tab w:val="clear" w:pos="8306"/>
        <w:tab w:val="left" w:pos="720"/>
        <w:tab w:val="right" w:pos="2268"/>
        <w:tab w:val="right" w:pos="9000"/>
      </w:tabs>
      <w:spacing w:after="0"/>
      <w:jc w:val="left"/>
      <w:rPr>
        <w:rFonts w:ascii="Verdana" w:hAnsi="Verdana"/>
        <w:color w:val="808080"/>
        <w:sz w:val="18"/>
        <w:szCs w:val="18"/>
      </w:rPr>
    </w:pPr>
    <w:r>
      <w:rPr>
        <w:rFonts w:ascii="Verdana" w:hAnsi="Verdana"/>
        <w:color w:val="808080"/>
        <w:sz w:val="18"/>
        <w:szCs w:val="18"/>
      </w:rPr>
      <w:t>Country report</w:t>
    </w:r>
    <w:r>
      <w:rPr>
        <w:rFonts w:ascii="Verdana" w:hAnsi="Verdana"/>
        <w:color w:val="808080"/>
        <w:sz w:val="18"/>
        <w:szCs w:val="18"/>
      </w:rPr>
      <w:tab/>
    </w:r>
    <w:r>
      <w:rPr>
        <w:rFonts w:ascii="Verdana" w:hAnsi="Verdana"/>
        <w:color w:val="808080"/>
        <w:sz w:val="18"/>
        <w:szCs w:val="18"/>
      </w:rPr>
      <w:tab/>
    </w:r>
    <w:r>
      <w:rPr>
        <w:rFonts w:ascii="Verdana" w:hAnsi="Verdana"/>
        <w:color w:val="808080"/>
        <w:sz w:val="18"/>
        <w:szCs w:val="18"/>
      </w:rPr>
      <w:tab/>
      <w:t>[Netherlands]</w:t>
    </w:r>
  </w:p>
  <w:p w14:paraId="088982E8" w14:textId="46CD6D8F" w:rsidR="00144401" w:rsidRPr="00E23E74" w:rsidRDefault="00144401" w:rsidP="00363B4F">
    <w:pPr>
      <w:pStyle w:val="Koptekst"/>
      <w:tabs>
        <w:tab w:val="clear" w:pos="8306"/>
        <w:tab w:val="right" w:pos="14601"/>
      </w:tabs>
      <w:spacing w:after="0"/>
      <w:rPr>
        <w:rFonts w:ascii="Verdana" w:hAnsi="Verdana"/>
        <w:color w:val="808080"/>
        <w:sz w:val="18"/>
        <w:szCs w:val="18"/>
      </w:rPr>
    </w:pPr>
    <w:r>
      <w:rPr>
        <w:rFonts w:ascii="Verdana" w:hAnsi="Verdana"/>
        <w:noProof/>
        <w:color w:val="808080"/>
        <w:sz w:val="18"/>
        <w:szCs w:val="18"/>
        <w:lang w:val="en-IE" w:eastAsia="en-IE"/>
      </w:rPr>
      <mc:AlternateContent>
        <mc:Choice Requires="wps">
          <w:drawing>
            <wp:anchor distT="4294967294" distB="4294967294" distL="114300" distR="114300" simplePos="0" relativeHeight="251658243" behindDoc="0" locked="0" layoutInCell="1" allowOverlap="1" wp14:anchorId="46C80133" wp14:editId="46D725AE">
              <wp:simplePos x="0" y="0"/>
              <wp:positionH relativeFrom="column">
                <wp:posOffset>-27305</wp:posOffset>
              </wp:positionH>
              <wp:positionV relativeFrom="margin">
                <wp:posOffset>-267336</wp:posOffset>
              </wp:positionV>
              <wp:extent cx="5742305" cy="0"/>
              <wp:effectExtent l="0" t="0" r="0" b="0"/>
              <wp:wrapNone/>
              <wp:docPr id="6"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230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61BF2A" id="Straight Connector 60" o:spid="_x0000_s1026" style="position:absolute;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margin;mso-width-percent:0;mso-height-percent:0;mso-width-relative:margin;mso-height-relative:page" from="-2.15pt,-21.05pt" to="45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" strokecolor="#7f7f7f">
              <o:lock v:ext="edit" shapetype="f"/>
              <w10:wrap anchory="margin"/>
            </v:line>
          </w:pict>
        </mc:Fallback>
      </mc:AlternateContent>
    </w:r>
    <w:r>
      <w:rPr>
        <w:rFonts w:ascii="Verdana" w:hAnsi="Verdana"/>
        <w:color w:val="808080"/>
        <w:sz w:val="18"/>
        <w:szCs w:val="18"/>
      </w:rPr>
      <w:t xml:space="preserve">  </w:t>
    </w:r>
  </w:p>
  <w:p w14:paraId="1E6FC025" w14:textId="77777777" w:rsidR="00144401" w:rsidRPr="00363B4F" w:rsidRDefault="00144401" w:rsidP="00363B4F">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C333" w14:textId="77777777" w:rsidR="00144401" w:rsidRDefault="00144401" w:rsidP="001A75CA">
    <w:pPr>
      <w:pStyle w:val="Koptekst"/>
      <w:tabs>
        <w:tab w:val="clear" w:pos="8306"/>
        <w:tab w:val="left" w:pos="720"/>
        <w:tab w:val="right" w:pos="2268"/>
        <w:tab w:val="right" w:pos="9000"/>
      </w:tabs>
      <w:spacing w:after="0"/>
      <w:jc w:val="left"/>
      <w:rPr>
        <w:rFonts w:ascii="Verdana" w:hAnsi="Verdana"/>
        <w:color w:val="808080"/>
        <w:sz w:val="18"/>
        <w:szCs w:val="18"/>
      </w:rPr>
    </w:pPr>
  </w:p>
  <w:p w14:paraId="455D6B52" w14:textId="77777777" w:rsidR="00144401" w:rsidRDefault="00144401" w:rsidP="001A75CA">
    <w:pPr>
      <w:pStyle w:val="Koptekst"/>
      <w:tabs>
        <w:tab w:val="clear" w:pos="8306"/>
        <w:tab w:val="left" w:pos="720"/>
        <w:tab w:val="right" w:pos="2268"/>
        <w:tab w:val="right" w:pos="9000"/>
      </w:tabs>
      <w:spacing w:after="0"/>
      <w:jc w:val="left"/>
      <w:rPr>
        <w:rFonts w:ascii="Verdana" w:hAnsi="Verdana"/>
        <w:color w:val="808080"/>
        <w:sz w:val="18"/>
        <w:szCs w:val="18"/>
      </w:rPr>
    </w:pPr>
  </w:p>
  <w:p w14:paraId="2BEB02EE" w14:textId="10BBA6D2" w:rsidR="00144401" w:rsidRPr="00AF7605" w:rsidRDefault="00144401" w:rsidP="001A75CA">
    <w:pPr>
      <w:pStyle w:val="Koptekst"/>
      <w:tabs>
        <w:tab w:val="clear" w:pos="8306"/>
        <w:tab w:val="left" w:pos="720"/>
        <w:tab w:val="right" w:pos="2268"/>
        <w:tab w:val="right" w:pos="9000"/>
      </w:tabs>
      <w:spacing w:after="0"/>
      <w:jc w:val="left"/>
      <w:rPr>
        <w:rFonts w:ascii="Verdana" w:hAnsi="Verdana"/>
        <w:color w:val="808080"/>
        <w:sz w:val="18"/>
        <w:szCs w:val="18"/>
      </w:rPr>
    </w:pPr>
    <w:r>
      <w:rPr>
        <w:rFonts w:ascii="Verdana" w:hAnsi="Verdana"/>
        <w:color w:val="808080"/>
        <w:sz w:val="18"/>
        <w:szCs w:val="18"/>
      </w:rPr>
      <w:t>Country report</w:t>
    </w:r>
    <w:r>
      <w:rPr>
        <w:rFonts w:ascii="Verdana" w:hAnsi="Verdana"/>
        <w:color w:val="808080"/>
        <w:sz w:val="18"/>
        <w:szCs w:val="18"/>
      </w:rPr>
      <w:tab/>
    </w:r>
    <w:r>
      <w:rPr>
        <w:rFonts w:ascii="Verdana" w:hAnsi="Verdana"/>
        <w:color w:val="808080"/>
        <w:sz w:val="18"/>
        <w:szCs w:val="18"/>
      </w:rPr>
      <w:tab/>
    </w:r>
    <w:r>
      <w:rPr>
        <w:rFonts w:ascii="Verdana" w:hAnsi="Verdana"/>
        <w:color w:val="808080"/>
        <w:sz w:val="18"/>
        <w:szCs w:val="18"/>
      </w:rPr>
      <w:tab/>
    </w:r>
    <w:r>
      <w:rPr>
        <w:rFonts w:ascii="Verdana" w:hAnsi="Verdana"/>
        <w:color w:val="808080"/>
        <w:sz w:val="18"/>
        <w:szCs w:val="18"/>
      </w:rPr>
      <w:tab/>
    </w:r>
    <w:r>
      <w:rPr>
        <w:rFonts w:ascii="Verdana" w:hAnsi="Verdana"/>
        <w:color w:val="808080"/>
        <w:sz w:val="18"/>
        <w:szCs w:val="18"/>
      </w:rPr>
      <w:tab/>
    </w:r>
    <w:r>
      <w:rPr>
        <w:rFonts w:ascii="Verdana" w:hAnsi="Verdana"/>
        <w:color w:val="808080"/>
        <w:sz w:val="18"/>
        <w:szCs w:val="18"/>
      </w:rPr>
      <w:tab/>
    </w:r>
    <w:r>
      <w:rPr>
        <w:rFonts w:ascii="Verdana" w:hAnsi="Verdana"/>
        <w:color w:val="808080"/>
        <w:sz w:val="18"/>
        <w:szCs w:val="18"/>
      </w:rPr>
      <w:tab/>
    </w:r>
    <w:r>
      <w:rPr>
        <w:rFonts w:ascii="Verdana" w:hAnsi="Verdana"/>
        <w:color w:val="808080"/>
        <w:sz w:val="18"/>
        <w:szCs w:val="18"/>
      </w:rPr>
      <w:tab/>
      <w:t>[Netherlands]</w:t>
    </w:r>
  </w:p>
  <w:p w14:paraId="71DC2BA4" w14:textId="69C81B34" w:rsidR="00144401" w:rsidRPr="00AB1726" w:rsidRDefault="00144401" w:rsidP="001A75CA">
    <w:pPr>
      <w:pStyle w:val="Koptekst"/>
      <w:tabs>
        <w:tab w:val="clear" w:pos="8306"/>
        <w:tab w:val="right" w:pos="14601"/>
      </w:tabs>
      <w:spacing w:after="0"/>
    </w:pPr>
    <w:r>
      <w:rPr>
        <w:rFonts w:ascii="Verdana" w:hAnsi="Verdana"/>
        <w:color w:val="808080"/>
        <w:sz w:val="18"/>
        <w:szCs w:val="18"/>
      </w:rPr>
      <w:t xml:space="preserve">  </w:t>
    </w:r>
    <w:r>
      <w:rPr>
        <w:rFonts w:ascii="Verdana" w:hAnsi="Verdana"/>
        <w:noProof/>
        <w:color w:val="808080"/>
        <w:sz w:val="18"/>
        <w:szCs w:val="18"/>
        <w:lang w:val="en-IE" w:eastAsia="en-IE"/>
      </w:rPr>
      <mc:AlternateContent>
        <mc:Choice Requires="wps">
          <w:drawing>
            <wp:anchor distT="4294967294" distB="4294967294" distL="114300" distR="114300" simplePos="0" relativeHeight="251658242" behindDoc="0" locked="0" layoutInCell="1" allowOverlap="1" wp14:anchorId="01E2DBAC" wp14:editId="5DA04D73">
              <wp:simplePos x="0" y="0"/>
              <wp:positionH relativeFrom="column">
                <wp:posOffset>-152400</wp:posOffset>
              </wp:positionH>
              <wp:positionV relativeFrom="margin">
                <wp:posOffset>-267336</wp:posOffset>
              </wp:positionV>
              <wp:extent cx="9230360" cy="0"/>
              <wp:effectExtent l="0" t="0" r="0" b="0"/>
              <wp:wrapNone/>
              <wp:docPr id="4"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036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7C0B0F" id="Straight Connector 60" o:spid="_x0000_s1026"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margin;mso-width-percent:0;mso-height-percent:0;mso-width-relative:margin;mso-height-relative:page" from="-12pt,-21.05pt" to="714.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" strokecolor="#7f7f7f">
              <o:lock v:ext="edit" shapetype="f"/>
              <w10:wrap anchory="margin"/>
            </v:line>
          </w:pict>
        </mc:Fallback>
      </mc:AlternateContent>
    </w:r>
  </w:p>
  <w:p w14:paraId="268321D9" w14:textId="77777777" w:rsidR="00144401" w:rsidRPr="001A75CA" w:rsidRDefault="00144401" w:rsidP="001A75CA">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787C" w14:textId="77777777" w:rsidR="00144401" w:rsidRDefault="00144401" w:rsidP="00AB1726">
    <w:pPr>
      <w:pStyle w:val="Koptekst"/>
      <w:tabs>
        <w:tab w:val="clear" w:pos="8306"/>
        <w:tab w:val="right" w:pos="9073"/>
      </w:tabs>
      <w:spacing w:after="0"/>
      <w:jc w:val="left"/>
      <w:rPr>
        <w:rFonts w:ascii="Verdana" w:hAnsi="Verdana"/>
        <w:color w:val="808080"/>
        <w:sz w:val="18"/>
        <w:szCs w:val="18"/>
      </w:rPr>
    </w:pPr>
  </w:p>
  <w:p w14:paraId="56291592" w14:textId="77777777" w:rsidR="00144401" w:rsidRDefault="00144401" w:rsidP="00AB1726">
    <w:pPr>
      <w:pStyle w:val="Koptekst"/>
      <w:tabs>
        <w:tab w:val="clear" w:pos="8306"/>
        <w:tab w:val="right" w:pos="8789"/>
      </w:tabs>
      <w:spacing w:after="0"/>
      <w:jc w:val="left"/>
      <w:rPr>
        <w:rFonts w:ascii="Verdana" w:hAnsi="Verdana"/>
        <w:color w:val="808080"/>
        <w:sz w:val="18"/>
        <w:szCs w:val="18"/>
      </w:rPr>
    </w:pPr>
  </w:p>
  <w:p w14:paraId="012D6ACB" w14:textId="6D91BDF9" w:rsidR="00144401" w:rsidRPr="00AF7605" w:rsidRDefault="00144401" w:rsidP="00AB1726">
    <w:pPr>
      <w:pStyle w:val="Koptekst"/>
      <w:tabs>
        <w:tab w:val="clear" w:pos="8306"/>
        <w:tab w:val="left" w:pos="720"/>
        <w:tab w:val="right" w:pos="2268"/>
        <w:tab w:val="right" w:pos="9000"/>
      </w:tabs>
      <w:spacing w:after="0"/>
      <w:jc w:val="left"/>
      <w:rPr>
        <w:rFonts w:ascii="Verdana" w:hAnsi="Verdana"/>
        <w:color w:val="808080"/>
        <w:sz w:val="18"/>
        <w:szCs w:val="18"/>
      </w:rPr>
    </w:pPr>
    <w:r>
      <w:rPr>
        <w:rFonts w:ascii="Verdana" w:hAnsi="Verdana"/>
        <w:color w:val="808080"/>
        <w:sz w:val="18"/>
        <w:szCs w:val="18"/>
      </w:rPr>
      <w:t>Country report</w:t>
    </w:r>
    <w:r>
      <w:rPr>
        <w:rFonts w:ascii="Verdana" w:hAnsi="Verdana"/>
        <w:color w:val="808080"/>
        <w:sz w:val="18"/>
        <w:szCs w:val="18"/>
      </w:rPr>
      <w:tab/>
    </w:r>
    <w:r>
      <w:rPr>
        <w:rFonts w:ascii="Verdana" w:hAnsi="Verdana"/>
        <w:color w:val="808080"/>
        <w:sz w:val="18"/>
        <w:szCs w:val="18"/>
      </w:rPr>
      <w:tab/>
    </w:r>
    <w:r>
      <w:rPr>
        <w:rFonts w:ascii="Verdana" w:hAnsi="Verdana"/>
        <w:color w:val="808080"/>
        <w:sz w:val="18"/>
        <w:szCs w:val="18"/>
      </w:rPr>
      <w:tab/>
      <w:t>[Netherlands]</w:t>
    </w:r>
  </w:p>
  <w:p w14:paraId="46669EAD" w14:textId="20994C3B" w:rsidR="00144401" w:rsidRPr="00E23E74" w:rsidRDefault="00144401" w:rsidP="00AB1726">
    <w:pPr>
      <w:pStyle w:val="Koptekst"/>
      <w:tabs>
        <w:tab w:val="clear" w:pos="8306"/>
        <w:tab w:val="right" w:pos="14601"/>
      </w:tabs>
      <w:spacing w:after="0"/>
      <w:rPr>
        <w:rFonts w:ascii="Verdana" w:hAnsi="Verdana"/>
        <w:color w:val="808080"/>
        <w:sz w:val="18"/>
        <w:szCs w:val="18"/>
      </w:rPr>
    </w:pPr>
    <w:r>
      <w:rPr>
        <w:rFonts w:ascii="Verdana" w:hAnsi="Verdana"/>
        <w:noProof/>
        <w:color w:val="808080"/>
        <w:sz w:val="18"/>
        <w:szCs w:val="18"/>
        <w:lang w:val="en-IE" w:eastAsia="en-IE"/>
      </w:rPr>
      <mc:AlternateContent>
        <mc:Choice Requires="wps">
          <w:drawing>
            <wp:anchor distT="4294967294" distB="4294967294" distL="114300" distR="114300" simplePos="0" relativeHeight="251658241" behindDoc="0" locked="0" layoutInCell="1" allowOverlap="1" wp14:anchorId="7711F64D" wp14:editId="77C3762B">
              <wp:simplePos x="0" y="0"/>
              <wp:positionH relativeFrom="column">
                <wp:posOffset>-27305</wp:posOffset>
              </wp:positionH>
              <wp:positionV relativeFrom="margin">
                <wp:posOffset>-267336</wp:posOffset>
              </wp:positionV>
              <wp:extent cx="5742305" cy="0"/>
              <wp:effectExtent l="0" t="0" r="0" b="0"/>
              <wp:wrapNone/>
              <wp:docPr id="3"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230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C9AFCE" id="Straight Connector 60"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margin;mso-width-percent:0;mso-height-percent:0;mso-width-relative:margin;mso-height-relative:page" from="-2.15pt,-21.05pt" to="45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" strokecolor="#7f7f7f">
              <o:lock v:ext="edit" shapetype="f"/>
              <w10:wrap anchory="margin"/>
            </v:line>
          </w:pict>
        </mc:Fallback>
      </mc:AlternateContent>
    </w:r>
    <w:r>
      <w:rPr>
        <w:rFonts w:ascii="Verdana" w:hAnsi="Verdana"/>
        <w:color w:val="808080"/>
        <w:sz w:val="18"/>
        <w:szCs w:val="18"/>
      </w:rPr>
      <w:t xml:space="preserve">  </w:t>
    </w:r>
  </w:p>
  <w:p w14:paraId="69E21DC6" w14:textId="77777777" w:rsidR="00144401" w:rsidRPr="00AB1726" w:rsidRDefault="00144401" w:rsidP="00AB17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3"/>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93890"/>
    <w:multiLevelType w:val="multilevel"/>
    <w:tmpl w:val="5CA2190A"/>
    <w:lvl w:ilvl="0">
      <w:start w:val="1"/>
      <w:numFmt w:val="decimal"/>
      <w:pStyle w:val="Kop1"/>
      <w:lvlText w:val="%1"/>
      <w:lvlJc w:val="left"/>
      <w:pPr>
        <w:ind w:left="432" w:hanging="432"/>
      </w:pPr>
      <w:rPr>
        <w:rFonts w:hint="default"/>
        <w:sz w:val="24"/>
        <w:szCs w:val="24"/>
      </w:rPr>
    </w:lvl>
    <w:lvl w:ilvl="1">
      <w:start w:val="1"/>
      <w:numFmt w:val="decimal"/>
      <w:pStyle w:val="Kop2"/>
      <w:lvlText w:val="%1.%2"/>
      <w:lvlJc w:val="left"/>
      <w:pPr>
        <w:ind w:left="756" w:hanging="576"/>
      </w:pPr>
      <w:rPr>
        <w:rFonts w:hint="default"/>
      </w:rPr>
    </w:lvl>
    <w:lvl w:ilvl="2">
      <w:start w:val="1"/>
      <w:numFmt w:val="decimal"/>
      <w:pStyle w:val="Kop3"/>
      <w:lvlText w:val="%1.%2.%3"/>
      <w:lvlJc w:val="left"/>
      <w:pPr>
        <w:ind w:left="720" w:hanging="720"/>
      </w:pPr>
      <w:rPr>
        <w:rFonts w:ascii="Verdana" w:hAnsi="Verdan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17042D64"/>
    <w:multiLevelType w:val="hybridMultilevel"/>
    <w:tmpl w:val="93BE896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77213E8"/>
    <w:multiLevelType w:val="hybridMultilevel"/>
    <w:tmpl w:val="DB6A2B34"/>
    <w:lvl w:ilvl="0" w:tplc="38BAC32E">
      <w:start w:val="1"/>
      <w:numFmt w:val="decimal"/>
      <w:pStyle w:val="Bijschrift"/>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B40919"/>
    <w:multiLevelType w:val="hybridMultilevel"/>
    <w:tmpl w:val="568000FE"/>
    <w:lvl w:ilvl="0" w:tplc="83DC2C8E">
      <w:start w:val="15"/>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0010E8E"/>
    <w:multiLevelType w:val="hybridMultilevel"/>
    <w:tmpl w:val="CB68F45E"/>
    <w:lvl w:ilvl="0" w:tplc="D7BAA8AC">
      <w:start w:val="1"/>
      <w:numFmt w:val="decimal"/>
      <w:pStyle w:val="Numberedlist"/>
      <w:lvlText w:val="%1."/>
      <w:lvlJc w:val="left"/>
      <w:pPr>
        <w:ind w:left="720" w:hanging="360"/>
      </w:pPr>
    </w:lvl>
    <w:lvl w:ilvl="1" w:tplc="375C5544">
      <w:start w:val="1"/>
      <w:numFmt w:val="lowerLetter"/>
      <w:lvlText w:val="%2."/>
      <w:lvlJc w:val="left"/>
      <w:pPr>
        <w:ind w:left="1440" w:hanging="360"/>
      </w:pPr>
    </w:lvl>
    <w:lvl w:ilvl="2" w:tplc="8752CDE4" w:tentative="1">
      <w:start w:val="1"/>
      <w:numFmt w:val="lowerRoman"/>
      <w:lvlText w:val="%3."/>
      <w:lvlJc w:val="right"/>
      <w:pPr>
        <w:ind w:left="2160" w:hanging="180"/>
      </w:pPr>
    </w:lvl>
    <w:lvl w:ilvl="3" w:tplc="27B23BFE" w:tentative="1">
      <w:start w:val="1"/>
      <w:numFmt w:val="decimal"/>
      <w:lvlText w:val="%4."/>
      <w:lvlJc w:val="left"/>
      <w:pPr>
        <w:ind w:left="2880" w:hanging="360"/>
      </w:pPr>
    </w:lvl>
    <w:lvl w:ilvl="4" w:tplc="03485268" w:tentative="1">
      <w:start w:val="1"/>
      <w:numFmt w:val="lowerLetter"/>
      <w:lvlText w:val="%5."/>
      <w:lvlJc w:val="left"/>
      <w:pPr>
        <w:ind w:left="3600" w:hanging="360"/>
      </w:pPr>
    </w:lvl>
    <w:lvl w:ilvl="5" w:tplc="B51A1800" w:tentative="1">
      <w:start w:val="1"/>
      <w:numFmt w:val="lowerRoman"/>
      <w:lvlText w:val="%6."/>
      <w:lvlJc w:val="right"/>
      <w:pPr>
        <w:ind w:left="4320" w:hanging="180"/>
      </w:pPr>
    </w:lvl>
    <w:lvl w:ilvl="6" w:tplc="271A8EEE" w:tentative="1">
      <w:start w:val="1"/>
      <w:numFmt w:val="decimal"/>
      <w:lvlText w:val="%7."/>
      <w:lvlJc w:val="left"/>
      <w:pPr>
        <w:ind w:left="5040" w:hanging="360"/>
      </w:pPr>
    </w:lvl>
    <w:lvl w:ilvl="7" w:tplc="C3181C50" w:tentative="1">
      <w:start w:val="1"/>
      <w:numFmt w:val="lowerLetter"/>
      <w:lvlText w:val="%8."/>
      <w:lvlJc w:val="left"/>
      <w:pPr>
        <w:ind w:left="5760" w:hanging="360"/>
      </w:pPr>
    </w:lvl>
    <w:lvl w:ilvl="8" w:tplc="969090F4" w:tentative="1">
      <w:start w:val="1"/>
      <w:numFmt w:val="lowerRoman"/>
      <w:lvlText w:val="%9."/>
      <w:lvlJc w:val="right"/>
      <w:pPr>
        <w:ind w:left="6480" w:hanging="180"/>
      </w:pPr>
    </w:lvl>
  </w:abstractNum>
  <w:abstractNum w:abstractNumId="10"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624CDF"/>
    <w:multiLevelType w:val="hybridMultilevel"/>
    <w:tmpl w:val="255A66FC"/>
    <w:lvl w:ilvl="0" w:tplc="83DC2C8E">
      <w:start w:val="15"/>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60BEDF96">
      <w:numFmt w:val="bullet"/>
      <w:lvlText w:val="•"/>
      <w:lvlJc w:val="left"/>
      <w:pPr>
        <w:ind w:left="2520" w:hanging="720"/>
      </w:pPr>
      <w:rPr>
        <w:rFonts w:ascii="Verdana" w:eastAsia="Times New Roman" w:hAnsi="Verdana"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E87805"/>
    <w:multiLevelType w:val="hybridMultilevel"/>
    <w:tmpl w:val="3AE84F1C"/>
    <w:lvl w:ilvl="0" w:tplc="B7583F34">
      <w:numFmt w:val="bullet"/>
      <w:lvlText w:val="-"/>
      <w:lvlJc w:val="left"/>
      <w:pPr>
        <w:ind w:left="720" w:hanging="360"/>
      </w:pPr>
      <w:rPr>
        <w:rFonts w:ascii="Calibri" w:eastAsia="Calibri" w:hAnsi="Calibri" w:cs="Times New Roman" w:hint="default"/>
        <w:i/>
      </w:rPr>
    </w:lvl>
    <w:lvl w:ilvl="1" w:tplc="83DC2C8E">
      <w:start w:val="15"/>
      <w:numFmt w:val="bullet"/>
      <w:lvlText w:val="-"/>
      <w:lvlJc w:val="left"/>
      <w:pPr>
        <w:ind w:left="1440" w:hanging="360"/>
      </w:pPr>
      <w:rPr>
        <w:rFonts w:ascii="Calibri" w:eastAsia="Calibr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9018EC"/>
    <w:multiLevelType w:val="hybridMultilevel"/>
    <w:tmpl w:val="789466AA"/>
    <w:lvl w:ilvl="0" w:tplc="6D4ED318">
      <w:start w:val="1"/>
      <w:numFmt w:val="bullet"/>
      <w:pStyle w:val="BulletPoint1"/>
      <w:lvlText w:val=""/>
      <w:lvlJc w:val="left"/>
      <w:pPr>
        <w:ind w:left="720" w:hanging="360"/>
      </w:pPr>
      <w:rPr>
        <w:rFonts w:ascii="Symbol" w:hAnsi="Symbol" w:hint="default"/>
      </w:rPr>
    </w:lvl>
    <w:lvl w:ilvl="1" w:tplc="4DF2A0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67285"/>
    <w:multiLevelType w:val="hybridMultilevel"/>
    <w:tmpl w:val="60169F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815D6A"/>
    <w:multiLevelType w:val="hybridMultilevel"/>
    <w:tmpl w:val="1D802B18"/>
    <w:lvl w:ilvl="0" w:tplc="B7583F34">
      <w:numFmt w:val="bullet"/>
      <w:lvlText w:val="-"/>
      <w:lvlJc w:val="left"/>
      <w:pPr>
        <w:ind w:left="720" w:hanging="360"/>
      </w:pPr>
      <w:rPr>
        <w:rFonts w:ascii="Calibri" w:eastAsia="Calibri" w:hAnsi="Calibri" w:cs="Times New Roman" w:hint="default"/>
        <w: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1"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2" w15:restartNumberingAfterBreak="0">
    <w:nsid w:val="3E951D29"/>
    <w:multiLevelType w:val="hybridMultilevel"/>
    <w:tmpl w:val="0908BC3A"/>
    <w:lvl w:ilvl="0" w:tplc="04130017">
      <w:start w:val="1"/>
      <w:numFmt w:val="lowerLetter"/>
      <w:lvlText w:val="%1)"/>
      <w:lvlJc w:val="left"/>
      <w:pPr>
        <w:ind w:left="720" w:hanging="360"/>
      </w:pPr>
    </w:lvl>
    <w:lvl w:ilvl="1" w:tplc="A3DA7976">
      <w:numFmt w:val="bullet"/>
      <w:lvlText w:val="•"/>
      <w:lvlJc w:val="left"/>
      <w:pPr>
        <w:ind w:left="1440" w:hanging="360"/>
      </w:pPr>
      <w:rPr>
        <w:rFonts w:ascii="Verdana" w:eastAsia="Times New Roman"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6777671"/>
    <w:multiLevelType w:val="hybridMultilevel"/>
    <w:tmpl w:val="F404D69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A630D7C"/>
    <w:multiLevelType w:val="hybridMultilevel"/>
    <w:tmpl w:val="E65E242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EED2480"/>
    <w:multiLevelType w:val="hybridMultilevel"/>
    <w:tmpl w:val="B0B80482"/>
    <w:lvl w:ilvl="0" w:tplc="83DC2C8E">
      <w:start w:val="15"/>
      <w:numFmt w:val="bullet"/>
      <w:lvlText w:val="-"/>
      <w:lvlJc w:val="left"/>
      <w:pPr>
        <w:ind w:left="360" w:hanging="360"/>
      </w:pPr>
      <w:rPr>
        <w:rFonts w:ascii="Calibri" w:eastAsia="Calibr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5F3B1D4D"/>
    <w:multiLevelType w:val="hybridMultilevel"/>
    <w:tmpl w:val="8878D3DA"/>
    <w:lvl w:ilvl="0" w:tplc="B7583F34">
      <w:numFmt w:val="bullet"/>
      <w:lvlText w:val="-"/>
      <w:lvlJc w:val="left"/>
      <w:pPr>
        <w:ind w:left="360" w:hanging="360"/>
      </w:pPr>
      <w:rPr>
        <w:rFonts w:ascii="Calibri" w:eastAsia="Calibri" w:hAnsi="Calibri" w:cs="Times New Roman" w:hint="default"/>
        <w: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32" w15:restartNumberingAfterBreak="0">
    <w:nsid w:val="655B2D11"/>
    <w:multiLevelType w:val="hybridMultilevel"/>
    <w:tmpl w:val="2CE48F12"/>
    <w:lvl w:ilvl="0" w:tplc="424CE94A">
      <w:start w:val="1"/>
      <w:numFmt w:val="bullet"/>
      <w:lvlText w:val=""/>
      <w:lvlJc w:val="left"/>
      <w:pPr>
        <w:ind w:left="720" w:hanging="360"/>
      </w:pPr>
      <w:rPr>
        <w:rFonts w:ascii="Symbol" w:hAnsi="Symbol" w:hint="default"/>
        <w:lang w:val="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3F6021A"/>
    <w:multiLevelType w:val="hybridMultilevel"/>
    <w:tmpl w:val="8F84594C"/>
    <w:lvl w:ilvl="0" w:tplc="DB8E78FC">
      <w:start w:val="1"/>
      <w:numFmt w:val="bullet"/>
      <w:lvlText w:val=""/>
      <w:lvlJc w:val="left"/>
      <w:pPr>
        <w:ind w:left="720" w:hanging="360"/>
      </w:pPr>
      <w:rPr>
        <w:rFonts w:ascii="Symbol" w:hAnsi="Symbol" w:hint="default"/>
        <w:color w:val="002395"/>
      </w:rPr>
    </w:lvl>
    <w:lvl w:ilvl="1" w:tplc="C38EA0E4">
      <w:start w:val="1"/>
      <w:numFmt w:val="bullet"/>
      <w:pStyle w:val="Bulletpoint2"/>
      <w:lvlText w:val="-"/>
      <w:lvlJc w:val="left"/>
      <w:pPr>
        <w:ind w:left="1440" w:hanging="360"/>
      </w:pPr>
      <w:rPr>
        <w:rFonts w:ascii="Courier New" w:hAnsi="Courier New" w:hint="default"/>
      </w:rPr>
    </w:lvl>
    <w:lvl w:ilvl="2" w:tplc="CCEAA9B2">
      <w:start w:val="1"/>
      <w:numFmt w:val="bullet"/>
      <w:lvlText w:val=""/>
      <w:lvlJc w:val="left"/>
      <w:pPr>
        <w:ind w:left="2160" w:hanging="360"/>
      </w:pPr>
      <w:rPr>
        <w:rFonts w:ascii="Wingdings" w:hAnsi="Wingdings" w:hint="default"/>
      </w:rPr>
    </w:lvl>
    <w:lvl w:ilvl="3" w:tplc="BA6AE74A">
      <w:start w:val="1"/>
      <w:numFmt w:val="bullet"/>
      <w:lvlText w:val=""/>
      <w:lvlJc w:val="left"/>
      <w:pPr>
        <w:ind w:left="2880" w:hanging="360"/>
      </w:pPr>
      <w:rPr>
        <w:rFonts w:ascii="Symbol" w:hAnsi="Symbol" w:hint="default"/>
      </w:rPr>
    </w:lvl>
    <w:lvl w:ilvl="4" w:tplc="AC524D9A" w:tentative="1">
      <w:start w:val="1"/>
      <w:numFmt w:val="bullet"/>
      <w:lvlText w:val="o"/>
      <w:lvlJc w:val="left"/>
      <w:pPr>
        <w:ind w:left="3600" w:hanging="360"/>
      </w:pPr>
      <w:rPr>
        <w:rFonts w:ascii="Courier New" w:hAnsi="Courier New" w:cs="Courier New" w:hint="default"/>
      </w:rPr>
    </w:lvl>
    <w:lvl w:ilvl="5" w:tplc="8E20F6C2" w:tentative="1">
      <w:start w:val="1"/>
      <w:numFmt w:val="bullet"/>
      <w:lvlText w:val=""/>
      <w:lvlJc w:val="left"/>
      <w:pPr>
        <w:ind w:left="4320" w:hanging="360"/>
      </w:pPr>
      <w:rPr>
        <w:rFonts w:ascii="Wingdings" w:hAnsi="Wingdings" w:hint="default"/>
      </w:rPr>
    </w:lvl>
    <w:lvl w:ilvl="6" w:tplc="2F844C88" w:tentative="1">
      <w:start w:val="1"/>
      <w:numFmt w:val="bullet"/>
      <w:lvlText w:val=""/>
      <w:lvlJc w:val="left"/>
      <w:pPr>
        <w:ind w:left="5040" w:hanging="360"/>
      </w:pPr>
      <w:rPr>
        <w:rFonts w:ascii="Symbol" w:hAnsi="Symbol" w:hint="default"/>
      </w:rPr>
    </w:lvl>
    <w:lvl w:ilvl="7" w:tplc="78DAC9E2" w:tentative="1">
      <w:start w:val="1"/>
      <w:numFmt w:val="bullet"/>
      <w:lvlText w:val="o"/>
      <w:lvlJc w:val="left"/>
      <w:pPr>
        <w:ind w:left="5760" w:hanging="360"/>
      </w:pPr>
      <w:rPr>
        <w:rFonts w:ascii="Courier New" w:hAnsi="Courier New" w:cs="Courier New" w:hint="default"/>
      </w:rPr>
    </w:lvl>
    <w:lvl w:ilvl="8" w:tplc="8B8C081A" w:tentative="1">
      <w:start w:val="1"/>
      <w:numFmt w:val="bullet"/>
      <w:lvlText w:val=""/>
      <w:lvlJc w:val="left"/>
      <w:pPr>
        <w:ind w:left="6480" w:hanging="360"/>
      </w:pPr>
      <w:rPr>
        <w:rFonts w:ascii="Wingdings" w:hAnsi="Wingdings" w:hint="default"/>
      </w:rPr>
    </w:lvl>
  </w:abstractNum>
  <w:abstractNum w:abstractNumId="36" w15:restartNumberingAfterBreak="0">
    <w:nsid w:val="771E1922"/>
    <w:multiLevelType w:val="hybridMultilevel"/>
    <w:tmpl w:val="CF462A5E"/>
    <w:lvl w:ilvl="0" w:tplc="A050C750">
      <w:start w:val="1"/>
      <w:numFmt w:val="bullet"/>
      <w:pStyle w:val="Bulletlist"/>
      <w:lvlText w:val=""/>
      <w:lvlJc w:val="left"/>
      <w:pPr>
        <w:ind w:left="717" w:hanging="360"/>
      </w:pPr>
      <w:rPr>
        <w:rFonts w:ascii="Symbol" w:hAnsi="Symbol" w:hint="default"/>
        <w:color w:val="263673"/>
        <w:u w:color="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13"/>
  </w:num>
  <w:num w:numId="5">
    <w:abstractNumId w:val="20"/>
  </w:num>
  <w:num w:numId="6">
    <w:abstractNumId w:val="31"/>
  </w:num>
  <w:num w:numId="7">
    <w:abstractNumId w:val="33"/>
  </w:num>
  <w:num w:numId="8">
    <w:abstractNumId w:val="18"/>
  </w:num>
  <w:num w:numId="9">
    <w:abstractNumId w:val="30"/>
  </w:num>
  <w:num w:numId="10">
    <w:abstractNumId w:val="28"/>
  </w:num>
  <w:num w:numId="11">
    <w:abstractNumId w:val="23"/>
  </w:num>
  <w:num w:numId="12">
    <w:abstractNumId w:val="27"/>
  </w:num>
  <w:num w:numId="13">
    <w:abstractNumId w:val="10"/>
  </w:num>
  <w:num w:numId="14">
    <w:abstractNumId w:val="19"/>
  </w:num>
  <w:num w:numId="15">
    <w:abstractNumId w:val="8"/>
  </w:num>
  <w:num w:numId="16">
    <w:abstractNumId w:val="14"/>
  </w:num>
  <w:num w:numId="17">
    <w:abstractNumId w:val="34"/>
  </w:num>
  <w:num w:numId="18">
    <w:abstractNumId w:val="3"/>
  </w:num>
  <w:num w:numId="19">
    <w:abstractNumId w:val="35"/>
  </w:num>
  <w:num w:numId="20">
    <w:abstractNumId w:val="9"/>
  </w:num>
  <w:num w:numId="21">
    <w:abstractNumId w:val="4"/>
  </w:num>
  <w:num w:numId="22">
    <w:abstractNumId w:val="15"/>
  </w:num>
  <w:num w:numId="23">
    <w:abstractNumId w:val="6"/>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1"/>
  </w:num>
  <w:num w:numId="27">
    <w:abstractNumId w:val="7"/>
  </w:num>
  <w:num w:numId="28">
    <w:abstractNumId w:val="16"/>
  </w:num>
  <w:num w:numId="29">
    <w:abstractNumId w:val="22"/>
  </w:num>
  <w:num w:numId="30">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5"/>
  </w:num>
  <w:num w:numId="33">
    <w:abstractNumId w:val="29"/>
  </w:num>
  <w:num w:numId="34">
    <w:abstractNumId w:val="25"/>
  </w:num>
  <w:num w:numId="35">
    <w:abstractNumId w:val="36"/>
  </w:num>
  <w:num w:numId="36">
    <w:abstractNumId w:val="24"/>
  </w:num>
  <w:num w:numId="37">
    <w:abstractNumId w:val="32"/>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nl-NL" w:vendorID="64" w:dllVersion="0" w:nlCheck="1" w:checkStyle="0"/>
  <w:activeWritingStyle w:appName="MSWord" w:lang="fr-BE"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8B009A"/>
    <w:rsid w:val="00000292"/>
    <w:rsid w:val="00000A67"/>
    <w:rsid w:val="00001233"/>
    <w:rsid w:val="00002C21"/>
    <w:rsid w:val="00002CB2"/>
    <w:rsid w:val="0000312E"/>
    <w:rsid w:val="00003A55"/>
    <w:rsid w:val="00005133"/>
    <w:rsid w:val="00005DD0"/>
    <w:rsid w:val="00006FDB"/>
    <w:rsid w:val="00007877"/>
    <w:rsid w:val="00007FFA"/>
    <w:rsid w:val="00010118"/>
    <w:rsid w:val="000103F7"/>
    <w:rsid w:val="000126C9"/>
    <w:rsid w:val="00013056"/>
    <w:rsid w:val="00014D6D"/>
    <w:rsid w:val="00015B55"/>
    <w:rsid w:val="00016569"/>
    <w:rsid w:val="000177AC"/>
    <w:rsid w:val="000208A1"/>
    <w:rsid w:val="00020B53"/>
    <w:rsid w:val="00020DD5"/>
    <w:rsid w:val="000210D2"/>
    <w:rsid w:val="00021515"/>
    <w:rsid w:val="00021E49"/>
    <w:rsid w:val="00022AA2"/>
    <w:rsid w:val="00022D46"/>
    <w:rsid w:val="0002337D"/>
    <w:rsid w:val="000238FB"/>
    <w:rsid w:val="00023AD2"/>
    <w:rsid w:val="000240F7"/>
    <w:rsid w:val="00024972"/>
    <w:rsid w:val="00024B65"/>
    <w:rsid w:val="00025413"/>
    <w:rsid w:val="00025D29"/>
    <w:rsid w:val="0002676E"/>
    <w:rsid w:val="000273B6"/>
    <w:rsid w:val="00027C9E"/>
    <w:rsid w:val="00030BD8"/>
    <w:rsid w:val="000318BF"/>
    <w:rsid w:val="00031A49"/>
    <w:rsid w:val="00031D01"/>
    <w:rsid w:val="00032215"/>
    <w:rsid w:val="000327DE"/>
    <w:rsid w:val="00032B45"/>
    <w:rsid w:val="00034914"/>
    <w:rsid w:val="00035318"/>
    <w:rsid w:val="00035D95"/>
    <w:rsid w:val="000360B0"/>
    <w:rsid w:val="000369FB"/>
    <w:rsid w:val="000371A9"/>
    <w:rsid w:val="000377F5"/>
    <w:rsid w:val="00037A42"/>
    <w:rsid w:val="00040529"/>
    <w:rsid w:val="00041EA9"/>
    <w:rsid w:val="000420EB"/>
    <w:rsid w:val="00043DE4"/>
    <w:rsid w:val="00044348"/>
    <w:rsid w:val="000447B4"/>
    <w:rsid w:val="00044868"/>
    <w:rsid w:val="000449AF"/>
    <w:rsid w:val="00044B23"/>
    <w:rsid w:val="0004562F"/>
    <w:rsid w:val="000457C6"/>
    <w:rsid w:val="00045F8A"/>
    <w:rsid w:val="0004635E"/>
    <w:rsid w:val="00046435"/>
    <w:rsid w:val="0004681C"/>
    <w:rsid w:val="00046AD2"/>
    <w:rsid w:val="00047249"/>
    <w:rsid w:val="000475E6"/>
    <w:rsid w:val="000478D1"/>
    <w:rsid w:val="00047B8C"/>
    <w:rsid w:val="00050471"/>
    <w:rsid w:val="000506D1"/>
    <w:rsid w:val="00051750"/>
    <w:rsid w:val="000518BB"/>
    <w:rsid w:val="0005211D"/>
    <w:rsid w:val="00052F7B"/>
    <w:rsid w:val="00053E03"/>
    <w:rsid w:val="00053F94"/>
    <w:rsid w:val="00054059"/>
    <w:rsid w:val="000541A6"/>
    <w:rsid w:val="000547B2"/>
    <w:rsid w:val="00054922"/>
    <w:rsid w:val="0005496E"/>
    <w:rsid w:val="00054BB1"/>
    <w:rsid w:val="00054C71"/>
    <w:rsid w:val="00054F76"/>
    <w:rsid w:val="00055222"/>
    <w:rsid w:val="00055232"/>
    <w:rsid w:val="00056094"/>
    <w:rsid w:val="000566CA"/>
    <w:rsid w:val="00056BD0"/>
    <w:rsid w:val="000575E2"/>
    <w:rsid w:val="00057AC3"/>
    <w:rsid w:val="0006061A"/>
    <w:rsid w:val="0006078A"/>
    <w:rsid w:val="00060D01"/>
    <w:rsid w:val="0006136D"/>
    <w:rsid w:val="00061A08"/>
    <w:rsid w:val="00062241"/>
    <w:rsid w:val="000622F4"/>
    <w:rsid w:val="00062503"/>
    <w:rsid w:val="000634C7"/>
    <w:rsid w:val="0006574E"/>
    <w:rsid w:val="00066293"/>
    <w:rsid w:val="00066812"/>
    <w:rsid w:val="00066869"/>
    <w:rsid w:val="00066FF8"/>
    <w:rsid w:val="00067514"/>
    <w:rsid w:val="0006783F"/>
    <w:rsid w:val="00067EB0"/>
    <w:rsid w:val="00070065"/>
    <w:rsid w:val="00070C8E"/>
    <w:rsid w:val="00071323"/>
    <w:rsid w:val="000726A3"/>
    <w:rsid w:val="00072BF7"/>
    <w:rsid w:val="00072CC0"/>
    <w:rsid w:val="00073036"/>
    <w:rsid w:val="00074151"/>
    <w:rsid w:val="00074CD6"/>
    <w:rsid w:val="00075045"/>
    <w:rsid w:val="000754CF"/>
    <w:rsid w:val="00075BF0"/>
    <w:rsid w:val="00076104"/>
    <w:rsid w:val="00076170"/>
    <w:rsid w:val="000771DB"/>
    <w:rsid w:val="000771F2"/>
    <w:rsid w:val="000774A9"/>
    <w:rsid w:val="00077B77"/>
    <w:rsid w:val="000802E9"/>
    <w:rsid w:val="0008110D"/>
    <w:rsid w:val="00081EB1"/>
    <w:rsid w:val="000821D2"/>
    <w:rsid w:val="00082431"/>
    <w:rsid w:val="00083037"/>
    <w:rsid w:val="0008314F"/>
    <w:rsid w:val="000834B0"/>
    <w:rsid w:val="00084144"/>
    <w:rsid w:val="00084180"/>
    <w:rsid w:val="0008445D"/>
    <w:rsid w:val="000844CB"/>
    <w:rsid w:val="000844F4"/>
    <w:rsid w:val="0008517C"/>
    <w:rsid w:val="000859AC"/>
    <w:rsid w:val="00086C2C"/>
    <w:rsid w:val="00087A63"/>
    <w:rsid w:val="00087AE0"/>
    <w:rsid w:val="00087ECF"/>
    <w:rsid w:val="00091667"/>
    <w:rsid w:val="00092476"/>
    <w:rsid w:val="000927E7"/>
    <w:rsid w:val="00092CBC"/>
    <w:rsid w:val="000931F1"/>
    <w:rsid w:val="000948B9"/>
    <w:rsid w:val="00094F13"/>
    <w:rsid w:val="00095D66"/>
    <w:rsid w:val="00095E42"/>
    <w:rsid w:val="00095F06"/>
    <w:rsid w:val="00096A07"/>
    <w:rsid w:val="00096BB6"/>
    <w:rsid w:val="00097643"/>
    <w:rsid w:val="000A1DCB"/>
    <w:rsid w:val="000A1F15"/>
    <w:rsid w:val="000A23D4"/>
    <w:rsid w:val="000A391A"/>
    <w:rsid w:val="000A3BBF"/>
    <w:rsid w:val="000A4AAF"/>
    <w:rsid w:val="000A52C5"/>
    <w:rsid w:val="000A53C9"/>
    <w:rsid w:val="000A551C"/>
    <w:rsid w:val="000A56CF"/>
    <w:rsid w:val="000A5F10"/>
    <w:rsid w:val="000A6375"/>
    <w:rsid w:val="000A65EB"/>
    <w:rsid w:val="000A675A"/>
    <w:rsid w:val="000B00D1"/>
    <w:rsid w:val="000B015B"/>
    <w:rsid w:val="000B19C5"/>
    <w:rsid w:val="000B19E2"/>
    <w:rsid w:val="000B20B9"/>
    <w:rsid w:val="000B288F"/>
    <w:rsid w:val="000B3C4D"/>
    <w:rsid w:val="000B3D3E"/>
    <w:rsid w:val="000B4A38"/>
    <w:rsid w:val="000B5A94"/>
    <w:rsid w:val="000B5D40"/>
    <w:rsid w:val="000B64E6"/>
    <w:rsid w:val="000B6F1B"/>
    <w:rsid w:val="000B763B"/>
    <w:rsid w:val="000C015A"/>
    <w:rsid w:val="000C0775"/>
    <w:rsid w:val="000C0810"/>
    <w:rsid w:val="000C090D"/>
    <w:rsid w:val="000C0BA6"/>
    <w:rsid w:val="000C0D53"/>
    <w:rsid w:val="000C164D"/>
    <w:rsid w:val="000C2BE6"/>
    <w:rsid w:val="000C315E"/>
    <w:rsid w:val="000C492E"/>
    <w:rsid w:val="000C59A3"/>
    <w:rsid w:val="000C6274"/>
    <w:rsid w:val="000C6280"/>
    <w:rsid w:val="000C633B"/>
    <w:rsid w:val="000C6465"/>
    <w:rsid w:val="000C6E4A"/>
    <w:rsid w:val="000C6F37"/>
    <w:rsid w:val="000C6F47"/>
    <w:rsid w:val="000C6F58"/>
    <w:rsid w:val="000C7728"/>
    <w:rsid w:val="000C7F87"/>
    <w:rsid w:val="000D07A2"/>
    <w:rsid w:val="000D0EB7"/>
    <w:rsid w:val="000D0ED6"/>
    <w:rsid w:val="000D1398"/>
    <w:rsid w:val="000D1474"/>
    <w:rsid w:val="000D16FE"/>
    <w:rsid w:val="000D19A0"/>
    <w:rsid w:val="000D1B74"/>
    <w:rsid w:val="000D1BC1"/>
    <w:rsid w:val="000D2438"/>
    <w:rsid w:val="000D326F"/>
    <w:rsid w:val="000D355D"/>
    <w:rsid w:val="000D443E"/>
    <w:rsid w:val="000D46D2"/>
    <w:rsid w:val="000D4DA6"/>
    <w:rsid w:val="000D52C0"/>
    <w:rsid w:val="000D55A8"/>
    <w:rsid w:val="000D599A"/>
    <w:rsid w:val="000D625E"/>
    <w:rsid w:val="000D794F"/>
    <w:rsid w:val="000D7FB5"/>
    <w:rsid w:val="000E00DC"/>
    <w:rsid w:val="000E01F5"/>
    <w:rsid w:val="000E0B81"/>
    <w:rsid w:val="000E0BAE"/>
    <w:rsid w:val="000E0DA9"/>
    <w:rsid w:val="000E21A7"/>
    <w:rsid w:val="000E2A3A"/>
    <w:rsid w:val="000E3215"/>
    <w:rsid w:val="000E3431"/>
    <w:rsid w:val="000E3452"/>
    <w:rsid w:val="000E3A45"/>
    <w:rsid w:val="000E3E83"/>
    <w:rsid w:val="000E5667"/>
    <w:rsid w:val="000E661F"/>
    <w:rsid w:val="000F0214"/>
    <w:rsid w:val="000F0715"/>
    <w:rsid w:val="000F07C9"/>
    <w:rsid w:val="000F14B3"/>
    <w:rsid w:val="000F1E72"/>
    <w:rsid w:val="000F1ED3"/>
    <w:rsid w:val="000F2810"/>
    <w:rsid w:val="000F2E8E"/>
    <w:rsid w:val="000F312E"/>
    <w:rsid w:val="000F3227"/>
    <w:rsid w:val="000F332F"/>
    <w:rsid w:val="000F349F"/>
    <w:rsid w:val="000F45E5"/>
    <w:rsid w:val="000F5B43"/>
    <w:rsid w:val="000F6889"/>
    <w:rsid w:val="000F695C"/>
    <w:rsid w:val="000F6DA5"/>
    <w:rsid w:val="000F73FE"/>
    <w:rsid w:val="000F77E1"/>
    <w:rsid w:val="00100D39"/>
    <w:rsid w:val="001014C2"/>
    <w:rsid w:val="001017E2"/>
    <w:rsid w:val="00101E56"/>
    <w:rsid w:val="00102098"/>
    <w:rsid w:val="0010244C"/>
    <w:rsid w:val="001031D4"/>
    <w:rsid w:val="00103308"/>
    <w:rsid w:val="00104136"/>
    <w:rsid w:val="00104F74"/>
    <w:rsid w:val="00105645"/>
    <w:rsid w:val="00105902"/>
    <w:rsid w:val="00105930"/>
    <w:rsid w:val="00105CF5"/>
    <w:rsid w:val="001064D7"/>
    <w:rsid w:val="001065C5"/>
    <w:rsid w:val="00107080"/>
    <w:rsid w:val="001073AD"/>
    <w:rsid w:val="00107AED"/>
    <w:rsid w:val="00107B0D"/>
    <w:rsid w:val="00107B42"/>
    <w:rsid w:val="00110625"/>
    <w:rsid w:val="00110B46"/>
    <w:rsid w:val="0011112C"/>
    <w:rsid w:val="001112CF"/>
    <w:rsid w:val="00112FB6"/>
    <w:rsid w:val="0011316D"/>
    <w:rsid w:val="001153F3"/>
    <w:rsid w:val="00115CB3"/>
    <w:rsid w:val="001165A2"/>
    <w:rsid w:val="00116E63"/>
    <w:rsid w:val="001174CB"/>
    <w:rsid w:val="00117945"/>
    <w:rsid w:val="00120157"/>
    <w:rsid w:val="00120346"/>
    <w:rsid w:val="0012061C"/>
    <w:rsid w:val="00122368"/>
    <w:rsid w:val="00123004"/>
    <w:rsid w:val="0012305B"/>
    <w:rsid w:val="001231EE"/>
    <w:rsid w:val="00123F19"/>
    <w:rsid w:val="00124020"/>
    <w:rsid w:val="0012421E"/>
    <w:rsid w:val="00125646"/>
    <w:rsid w:val="001265D6"/>
    <w:rsid w:val="00126791"/>
    <w:rsid w:val="001273BD"/>
    <w:rsid w:val="00130414"/>
    <w:rsid w:val="00130D86"/>
    <w:rsid w:val="00130F68"/>
    <w:rsid w:val="001326F2"/>
    <w:rsid w:val="0013320B"/>
    <w:rsid w:val="0013420A"/>
    <w:rsid w:val="001348AE"/>
    <w:rsid w:val="00134F92"/>
    <w:rsid w:val="00135175"/>
    <w:rsid w:val="0013521C"/>
    <w:rsid w:val="00135AD2"/>
    <w:rsid w:val="00136DE3"/>
    <w:rsid w:val="0013773F"/>
    <w:rsid w:val="00137757"/>
    <w:rsid w:val="00140099"/>
    <w:rsid w:val="00140739"/>
    <w:rsid w:val="00140D57"/>
    <w:rsid w:val="0014120F"/>
    <w:rsid w:val="00143515"/>
    <w:rsid w:val="00143649"/>
    <w:rsid w:val="001437F6"/>
    <w:rsid w:val="00144181"/>
    <w:rsid w:val="00144401"/>
    <w:rsid w:val="00144D84"/>
    <w:rsid w:val="00145443"/>
    <w:rsid w:val="00145618"/>
    <w:rsid w:val="0014640D"/>
    <w:rsid w:val="00146AE8"/>
    <w:rsid w:val="00146F37"/>
    <w:rsid w:val="00147703"/>
    <w:rsid w:val="00147882"/>
    <w:rsid w:val="00147F79"/>
    <w:rsid w:val="00150730"/>
    <w:rsid w:val="001507DA"/>
    <w:rsid w:val="001508EB"/>
    <w:rsid w:val="0015099A"/>
    <w:rsid w:val="00150F3A"/>
    <w:rsid w:val="001512B7"/>
    <w:rsid w:val="00151B46"/>
    <w:rsid w:val="00153086"/>
    <w:rsid w:val="001539FA"/>
    <w:rsid w:val="00153B2A"/>
    <w:rsid w:val="00153E6B"/>
    <w:rsid w:val="0015412F"/>
    <w:rsid w:val="0015506C"/>
    <w:rsid w:val="00155877"/>
    <w:rsid w:val="00155D09"/>
    <w:rsid w:val="001562D9"/>
    <w:rsid w:val="00157659"/>
    <w:rsid w:val="0016019D"/>
    <w:rsid w:val="001601E3"/>
    <w:rsid w:val="00160520"/>
    <w:rsid w:val="001615CA"/>
    <w:rsid w:val="00162335"/>
    <w:rsid w:val="001628D5"/>
    <w:rsid w:val="00163131"/>
    <w:rsid w:val="00163B5B"/>
    <w:rsid w:val="0016421D"/>
    <w:rsid w:val="00164C22"/>
    <w:rsid w:val="00165641"/>
    <w:rsid w:val="00165B60"/>
    <w:rsid w:val="00165E43"/>
    <w:rsid w:val="001661AB"/>
    <w:rsid w:val="001671D9"/>
    <w:rsid w:val="00167504"/>
    <w:rsid w:val="001679AA"/>
    <w:rsid w:val="001700E4"/>
    <w:rsid w:val="00170FA8"/>
    <w:rsid w:val="001710AC"/>
    <w:rsid w:val="00171DDC"/>
    <w:rsid w:val="00171FB6"/>
    <w:rsid w:val="00172330"/>
    <w:rsid w:val="001726FB"/>
    <w:rsid w:val="00173B6D"/>
    <w:rsid w:val="00173B6F"/>
    <w:rsid w:val="0017401B"/>
    <w:rsid w:val="00174260"/>
    <w:rsid w:val="001744B7"/>
    <w:rsid w:val="00174619"/>
    <w:rsid w:val="00174859"/>
    <w:rsid w:val="00175464"/>
    <w:rsid w:val="00175FFD"/>
    <w:rsid w:val="00176957"/>
    <w:rsid w:val="00176A0D"/>
    <w:rsid w:val="00176DAD"/>
    <w:rsid w:val="001772CA"/>
    <w:rsid w:val="00177322"/>
    <w:rsid w:val="00181D0A"/>
    <w:rsid w:val="00181F14"/>
    <w:rsid w:val="00182245"/>
    <w:rsid w:val="001823A5"/>
    <w:rsid w:val="00182A65"/>
    <w:rsid w:val="00182AB0"/>
    <w:rsid w:val="001837FF"/>
    <w:rsid w:val="001842DF"/>
    <w:rsid w:val="0018439D"/>
    <w:rsid w:val="001847E9"/>
    <w:rsid w:val="00184D03"/>
    <w:rsid w:val="00185089"/>
    <w:rsid w:val="00185A88"/>
    <w:rsid w:val="00186528"/>
    <w:rsid w:val="001866FA"/>
    <w:rsid w:val="00186F7D"/>
    <w:rsid w:val="0019049D"/>
    <w:rsid w:val="001904E2"/>
    <w:rsid w:val="0019054D"/>
    <w:rsid w:val="00190DF4"/>
    <w:rsid w:val="0019159A"/>
    <w:rsid w:val="001918A7"/>
    <w:rsid w:val="00191F86"/>
    <w:rsid w:val="00192416"/>
    <w:rsid w:val="00193A7F"/>
    <w:rsid w:val="0019401E"/>
    <w:rsid w:val="00194191"/>
    <w:rsid w:val="001941DE"/>
    <w:rsid w:val="0019532E"/>
    <w:rsid w:val="00195AAC"/>
    <w:rsid w:val="001965B0"/>
    <w:rsid w:val="00196CE8"/>
    <w:rsid w:val="00196FB6"/>
    <w:rsid w:val="0019715B"/>
    <w:rsid w:val="00197435"/>
    <w:rsid w:val="001A01C3"/>
    <w:rsid w:val="001A101D"/>
    <w:rsid w:val="001A15F4"/>
    <w:rsid w:val="001A166D"/>
    <w:rsid w:val="001A1937"/>
    <w:rsid w:val="001A1962"/>
    <w:rsid w:val="001A244B"/>
    <w:rsid w:val="001A2EAE"/>
    <w:rsid w:val="001A4319"/>
    <w:rsid w:val="001A4951"/>
    <w:rsid w:val="001A4DD4"/>
    <w:rsid w:val="001A5093"/>
    <w:rsid w:val="001A51E1"/>
    <w:rsid w:val="001A6896"/>
    <w:rsid w:val="001A75CA"/>
    <w:rsid w:val="001B0A37"/>
    <w:rsid w:val="001B0C7C"/>
    <w:rsid w:val="001B1081"/>
    <w:rsid w:val="001B1146"/>
    <w:rsid w:val="001B17F7"/>
    <w:rsid w:val="001B19E5"/>
    <w:rsid w:val="001B1CDF"/>
    <w:rsid w:val="001B2165"/>
    <w:rsid w:val="001B27A1"/>
    <w:rsid w:val="001B2D1D"/>
    <w:rsid w:val="001B39F9"/>
    <w:rsid w:val="001B3D30"/>
    <w:rsid w:val="001B500A"/>
    <w:rsid w:val="001B51F6"/>
    <w:rsid w:val="001B5A18"/>
    <w:rsid w:val="001B6689"/>
    <w:rsid w:val="001B6944"/>
    <w:rsid w:val="001B6A51"/>
    <w:rsid w:val="001B6A98"/>
    <w:rsid w:val="001B6D0F"/>
    <w:rsid w:val="001B6F59"/>
    <w:rsid w:val="001B70E5"/>
    <w:rsid w:val="001B711F"/>
    <w:rsid w:val="001B7F84"/>
    <w:rsid w:val="001C01BC"/>
    <w:rsid w:val="001C0BCB"/>
    <w:rsid w:val="001C21B1"/>
    <w:rsid w:val="001C2AF8"/>
    <w:rsid w:val="001C2FD3"/>
    <w:rsid w:val="001C3C0E"/>
    <w:rsid w:val="001C55BF"/>
    <w:rsid w:val="001C5E47"/>
    <w:rsid w:val="001C7208"/>
    <w:rsid w:val="001C755F"/>
    <w:rsid w:val="001D00E2"/>
    <w:rsid w:val="001D1566"/>
    <w:rsid w:val="001D2039"/>
    <w:rsid w:val="001D2A39"/>
    <w:rsid w:val="001D2EDE"/>
    <w:rsid w:val="001D3EFE"/>
    <w:rsid w:val="001D46DA"/>
    <w:rsid w:val="001D4770"/>
    <w:rsid w:val="001D4A90"/>
    <w:rsid w:val="001D4C40"/>
    <w:rsid w:val="001D51DD"/>
    <w:rsid w:val="001D54C2"/>
    <w:rsid w:val="001D55D8"/>
    <w:rsid w:val="001D57F7"/>
    <w:rsid w:val="001D5F3C"/>
    <w:rsid w:val="001E041F"/>
    <w:rsid w:val="001E1544"/>
    <w:rsid w:val="001E1CFE"/>
    <w:rsid w:val="001E341A"/>
    <w:rsid w:val="001E3E17"/>
    <w:rsid w:val="001E4502"/>
    <w:rsid w:val="001E48F3"/>
    <w:rsid w:val="001E4D6D"/>
    <w:rsid w:val="001E4F6B"/>
    <w:rsid w:val="001E52CF"/>
    <w:rsid w:val="001E5B89"/>
    <w:rsid w:val="001E5BE2"/>
    <w:rsid w:val="001E5C7E"/>
    <w:rsid w:val="001E75EE"/>
    <w:rsid w:val="001F040B"/>
    <w:rsid w:val="001F05D7"/>
    <w:rsid w:val="001F1405"/>
    <w:rsid w:val="001F2751"/>
    <w:rsid w:val="001F2753"/>
    <w:rsid w:val="001F3444"/>
    <w:rsid w:val="001F4139"/>
    <w:rsid w:val="001F4A4A"/>
    <w:rsid w:val="001F5054"/>
    <w:rsid w:val="001F5665"/>
    <w:rsid w:val="001F5EB0"/>
    <w:rsid w:val="001F70FE"/>
    <w:rsid w:val="001F72F5"/>
    <w:rsid w:val="001F75A5"/>
    <w:rsid w:val="001F7B66"/>
    <w:rsid w:val="001F7CCB"/>
    <w:rsid w:val="00200280"/>
    <w:rsid w:val="00201526"/>
    <w:rsid w:val="00201A46"/>
    <w:rsid w:val="00202C08"/>
    <w:rsid w:val="00202E38"/>
    <w:rsid w:val="0020317C"/>
    <w:rsid w:val="0020345C"/>
    <w:rsid w:val="0020391A"/>
    <w:rsid w:val="002039BA"/>
    <w:rsid w:val="00203F2B"/>
    <w:rsid w:val="00204203"/>
    <w:rsid w:val="00204599"/>
    <w:rsid w:val="002046C0"/>
    <w:rsid w:val="00205CBB"/>
    <w:rsid w:val="0020683B"/>
    <w:rsid w:val="0020688A"/>
    <w:rsid w:val="00207854"/>
    <w:rsid w:val="0021020A"/>
    <w:rsid w:val="00210542"/>
    <w:rsid w:val="00210645"/>
    <w:rsid w:val="0021148B"/>
    <w:rsid w:val="00211D00"/>
    <w:rsid w:val="002120FC"/>
    <w:rsid w:val="0021303A"/>
    <w:rsid w:val="00213202"/>
    <w:rsid w:val="00214912"/>
    <w:rsid w:val="00214AEF"/>
    <w:rsid w:val="002151B0"/>
    <w:rsid w:val="0021539A"/>
    <w:rsid w:val="002155AD"/>
    <w:rsid w:val="00215E19"/>
    <w:rsid w:val="00216280"/>
    <w:rsid w:val="00216357"/>
    <w:rsid w:val="002169CA"/>
    <w:rsid w:val="00216E7D"/>
    <w:rsid w:val="002175A1"/>
    <w:rsid w:val="0021771B"/>
    <w:rsid w:val="00217921"/>
    <w:rsid w:val="002179E7"/>
    <w:rsid w:val="002204E4"/>
    <w:rsid w:val="00220AE5"/>
    <w:rsid w:val="002214C0"/>
    <w:rsid w:val="0022237A"/>
    <w:rsid w:val="00222426"/>
    <w:rsid w:val="0022268A"/>
    <w:rsid w:val="00222E80"/>
    <w:rsid w:val="00223043"/>
    <w:rsid w:val="00223B87"/>
    <w:rsid w:val="00223C10"/>
    <w:rsid w:val="00224761"/>
    <w:rsid w:val="00225393"/>
    <w:rsid w:val="00225A0B"/>
    <w:rsid w:val="0022672D"/>
    <w:rsid w:val="0022690A"/>
    <w:rsid w:val="00226B27"/>
    <w:rsid w:val="00226C6A"/>
    <w:rsid w:val="0022703A"/>
    <w:rsid w:val="00230F72"/>
    <w:rsid w:val="00232230"/>
    <w:rsid w:val="00232F0C"/>
    <w:rsid w:val="00232F60"/>
    <w:rsid w:val="00233815"/>
    <w:rsid w:val="002347A9"/>
    <w:rsid w:val="0023677F"/>
    <w:rsid w:val="00236B98"/>
    <w:rsid w:val="002371F6"/>
    <w:rsid w:val="00237278"/>
    <w:rsid w:val="00237B4F"/>
    <w:rsid w:val="00237E66"/>
    <w:rsid w:val="002411B2"/>
    <w:rsid w:val="00241313"/>
    <w:rsid w:val="002414AD"/>
    <w:rsid w:val="0024158F"/>
    <w:rsid w:val="0024235A"/>
    <w:rsid w:val="002426BD"/>
    <w:rsid w:val="002428EA"/>
    <w:rsid w:val="00242A9B"/>
    <w:rsid w:val="002430FB"/>
    <w:rsid w:val="002434D2"/>
    <w:rsid w:val="002434F4"/>
    <w:rsid w:val="0024387A"/>
    <w:rsid w:val="00245F57"/>
    <w:rsid w:val="00246860"/>
    <w:rsid w:val="00246C2E"/>
    <w:rsid w:val="00247A46"/>
    <w:rsid w:val="00250E94"/>
    <w:rsid w:val="0025114D"/>
    <w:rsid w:val="002517C3"/>
    <w:rsid w:val="00251A75"/>
    <w:rsid w:val="00252542"/>
    <w:rsid w:val="0025260D"/>
    <w:rsid w:val="00252877"/>
    <w:rsid w:val="002546D2"/>
    <w:rsid w:val="002555E9"/>
    <w:rsid w:val="00255B0F"/>
    <w:rsid w:val="0025692F"/>
    <w:rsid w:val="00257A54"/>
    <w:rsid w:val="00257FB8"/>
    <w:rsid w:val="00260F31"/>
    <w:rsid w:val="002611B0"/>
    <w:rsid w:val="00261531"/>
    <w:rsid w:val="00261B06"/>
    <w:rsid w:val="00262DAD"/>
    <w:rsid w:val="002631FC"/>
    <w:rsid w:val="00263C5B"/>
    <w:rsid w:val="00264E97"/>
    <w:rsid w:val="00264F47"/>
    <w:rsid w:val="00265290"/>
    <w:rsid w:val="00265E8F"/>
    <w:rsid w:val="002664BB"/>
    <w:rsid w:val="00266DAC"/>
    <w:rsid w:val="00266FD4"/>
    <w:rsid w:val="00267408"/>
    <w:rsid w:val="00267568"/>
    <w:rsid w:val="00267F06"/>
    <w:rsid w:val="002702EA"/>
    <w:rsid w:val="00270E3D"/>
    <w:rsid w:val="00270E42"/>
    <w:rsid w:val="00271044"/>
    <w:rsid w:val="00271238"/>
    <w:rsid w:val="002715D8"/>
    <w:rsid w:val="00271934"/>
    <w:rsid w:val="00271E89"/>
    <w:rsid w:val="00272042"/>
    <w:rsid w:val="002736C4"/>
    <w:rsid w:val="002737D5"/>
    <w:rsid w:val="00274CEF"/>
    <w:rsid w:val="0027519F"/>
    <w:rsid w:val="002757B9"/>
    <w:rsid w:val="00276D30"/>
    <w:rsid w:val="0027780D"/>
    <w:rsid w:val="00277836"/>
    <w:rsid w:val="00280DE4"/>
    <w:rsid w:val="002819AA"/>
    <w:rsid w:val="00282292"/>
    <w:rsid w:val="00282F7F"/>
    <w:rsid w:val="002835BE"/>
    <w:rsid w:val="00283A77"/>
    <w:rsid w:val="00283C54"/>
    <w:rsid w:val="002842D3"/>
    <w:rsid w:val="002843D0"/>
    <w:rsid w:val="00284B20"/>
    <w:rsid w:val="00284B30"/>
    <w:rsid w:val="00284D5A"/>
    <w:rsid w:val="00285399"/>
    <w:rsid w:val="00286EB9"/>
    <w:rsid w:val="00287097"/>
    <w:rsid w:val="00287592"/>
    <w:rsid w:val="002879DA"/>
    <w:rsid w:val="00287A25"/>
    <w:rsid w:val="00287FB4"/>
    <w:rsid w:val="002906AC"/>
    <w:rsid w:val="0029148F"/>
    <w:rsid w:val="00291947"/>
    <w:rsid w:val="0029228E"/>
    <w:rsid w:val="0029230C"/>
    <w:rsid w:val="002924F9"/>
    <w:rsid w:val="00292E85"/>
    <w:rsid w:val="0029323A"/>
    <w:rsid w:val="0029328C"/>
    <w:rsid w:val="00293953"/>
    <w:rsid w:val="002942D7"/>
    <w:rsid w:val="00294639"/>
    <w:rsid w:val="00294764"/>
    <w:rsid w:val="002947A5"/>
    <w:rsid w:val="00294EF5"/>
    <w:rsid w:val="00295248"/>
    <w:rsid w:val="00295584"/>
    <w:rsid w:val="00295689"/>
    <w:rsid w:val="002965EF"/>
    <w:rsid w:val="00296D2A"/>
    <w:rsid w:val="002A032E"/>
    <w:rsid w:val="002A0B9B"/>
    <w:rsid w:val="002A1327"/>
    <w:rsid w:val="002A165C"/>
    <w:rsid w:val="002A16CF"/>
    <w:rsid w:val="002A1E48"/>
    <w:rsid w:val="002A1FF6"/>
    <w:rsid w:val="002A20C4"/>
    <w:rsid w:val="002A36D8"/>
    <w:rsid w:val="002A3B5C"/>
    <w:rsid w:val="002A3C08"/>
    <w:rsid w:val="002A42B6"/>
    <w:rsid w:val="002A436D"/>
    <w:rsid w:val="002A468B"/>
    <w:rsid w:val="002A4A8B"/>
    <w:rsid w:val="002A5872"/>
    <w:rsid w:val="002A5927"/>
    <w:rsid w:val="002A59A6"/>
    <w:rsid w:val="002A6123"/>
    <w:rsid w:val="002A67E3"/>
    <w:rsid w:val="002A7040"/>
    <w:rsid w:val="002A7C02"/>
    <w:rsid w:val="002B031E"/>
    <w:rsid w:val="002B0826"/>
    <w:rsid w:val="002B088F"/>
    <w:rsid w:val="002B1502"/>
    <w:rsid w:val="002B3E42"/>
    <w:rsid w:val="002B4027"/>
    <w:rsid w:val="002B45A6"/>
    <w:rsid w:val="002B4B87"/>
    <w:rsid w:val="002B5928"/>
    <w:rsid w:val="002B667C"/>
    <w:rsid w:val="002B6B9E"/>
    <w:rsid w:val="002B7A34"/>
    <w:rsid w:val="002C050D"/>
    <w:rsid w:val="002C1043"/>
    <w:rsid w:val="002C180E"/>
    <w:rsid w:val="002C1A0B"/>
    <w:rsid w:val="002C1D58"/>
    <w:rsid w:val="002C23EE"/>
    <w:rsid w:val="002C2BF8"/>
    <w:rsid w:val="002C2E72"/>
    <w:rsid w:val="002C5443"/>
    <w:rsid w:val="002C5B75"/>
    <w:rsid w:val="002C5CD9"/>
    <w:rsid w:val="002C61C1"/>
    <w:rsid w:val="002C6441"/>
    <w:rsid w:val="002C6C96"/>
    <w:rsid w:val="002C6C9F"/>
    <w:rsid w:val="002C6E65"/>
    <w:rsid w:val="002C77DD"/>
    <w:rsid w:val="002D0071"/>
    <w:rsid w:val="002D07D9"/>
    <w:rsid w:val="002D081E"/>
    <w:rsid w:val="002D0A06"/>
    <w:rsid w:val="002D0D59"/>
    <w:rsid w:val="002D162A"/>
    <w:rsid w:val="002D1A68"/>
    <w:rsid w:val="002D22BA"/>
    <w:rsid w:val="002D251E"/>
    <w:rsid w:val="002D25B1"/>
    <w:rsid w:val="002D2D1D"/>
    <w:rsid w:val="002D2F18"/>
    <w:rsid w:val="002D3864"/>
    <w:rsid w:val="002D38C6"/>
    <w:rsid w:val="002D39BE"/>
    <w:rsid w:val="002D4AD6"/>
    <w:rsid w:val="002D4C68"/>
    <w:rsid w:val="002D7283"/>
    <w:rsid w:val="002E07D3"/>
    <w:rsid w:val="002E0CA0"/>
    <w:rsid w:val="002E1B6A"/>
    <w:rsid w:val="002E1D86"/>
    <w:rsid w:val="002E1FDB"/>
    <w:rsid w:val="002E2C2C"/>
    <w:rsid w:val="002E308E"/>
    <w:rsid w:val="002E34DD"/>
    <w:rsid w:val="002E3E19"/>
    <w:rsid w:val="002E4310"/>
    <w:rsid w:val="002E68FD"/>
    <w:rsid w:val="002E6C82"/>
    <w:rsid w:val="002E6F6F"/>
    <w:rsid w:val="002E70AE"/>
    <w:rsid w:val="002E7834"/>
    <w:rsid w:val="002E7C45"/>
    <w:rsid w:val="002F12C8"/>
    <w:rsid w:val="002F1302"/>
    <w:rsid w:val="002F1A5D"/>
    <w:rsid w:val="002F35D9"/>
    <w:rsid w:val="002F35FC"/>
    <w:rsid w:val="002F4376"/>
    <w:rsid w:val="002F5D0A"/>
    <w:rsid w:val="002F6376"/>
    <w:rsid w:val="002F6612"/>
    <w:rsid w:val="002F7105"/>
    <w:rsid w:val="002F786F"/>
    <w:rsid w:val="002F7F00"/>
    <w:rsid w:val="003005E8"/>
    <w:rsid w:val="00300C2C"/>
    <w:rsid w:val="00302ABE"/>
    <w:rsid w:val="00303617"/>
    <w:rsid w:val="0030397B"/>
    <w:rsid w:val="00304713"/>
    <w:rsid w:val="00304832"/>
    <w:rsid w:val="00306441"/>
    <w:rsid w:val="00306851"/>
    <w:rsid w:val="003069E6"/>
    <w:rsid w:val="00306D24"/>
    <w:rsid w:val="00306E8D"/>
    <w:rsid w:val="003072FF"/>
    <w:rsid w:val="00307730"/>
    <w:rsid w:val="00307B65"/>
    <w:rsid w:val="00307BDE"/>
    <w:rsid w:val="00310117"/>
    <w:rsid w:val="0031118B"/>
    <w:rsid w:val="00311659"/>
    <w:rsid w:val="003116F1"/>
    <w:rsid w:val="00311AAD"/>
    <w:rsid w:val="00312485"/>
    <w:rsid w:val="003125C0"/>
    <w:rsid w:val="0031285A"/>
    <w:rsid w:val="00312B49"/>
    <w:rsid w:val="00313658"/>
    <w:rsid w:val="00314F02"/>
    <w:rsid w:val="00315ABB"/>
    <w:rsid w:val="00315DC0"/>
    <w:rsid w:val="00316368"/>
    <w:rsid w:val="00317693"/>
    <w:rsid w:val="00317F3F"/>
    <w:rsid w:val="00320061"/>
    <w:rsid w:val="0032011A"/>
    <w:rsid w:val="00320619"/>
    <w:rsid w:val="00320630"/>
    <w:rsid w:val="00321577"/>
    <w:rsid w:val="00321FE0"/>
    <w:rsid w:val="0032252D"/>
    <w:rsid w:val="0032261F"/>
    <w:rsid w:val="00322742"/>
    <w:rsid w:val="00322F7D"/>
    <w:rsid w:val="00323169"/>
    <w:rsid w:val="00324B0D"/>
    <w:rsid w:val="0032542F"/>
    <w:rsid w:val="0032557E"/>
    <w:rsid w:val="003258E9"/>
    <w:rsid w:val="00326278"/>
    <w:rsid w:val="0032677F"/>
    <w:rsid w:val="003271F4"/>
    <w:rsid w:val="00327A9C"/>
    <w:rsid w:val="003318A5"/>
    <w:rsid w:val="003319C6"/>
    <w:rsid w:val="00331DD7"/>
    <w:rsid w:val="00331EBC"/>
    <w:rsid w:val="0033221D"/>
    <w:rsid w:val="003328AB"/>
    <w:rsid w:val="00333541"/>
    <w:rsid w:val="00333AF7"/>
    <w:rsid w:val="00333B24"/>
    <w:rsid w:val="00333B32"/>
    <w:rsid w:val="0033414F"/>
    <w:rsid w:val="00334266"/>
    <w:rsid w:val="00334D9D"/>
    <w:rsid w:val="0033523A"/>
    <w:rsid w:val="00336FD2"/>
    <w:rsid w:val="003370AC"/>
    <w:rsid w:val="00337966"/>
    <w:rsid w:val="00337CDD"/>
    <w:rsid w:val="00337ED6"/>
    <w:rsid w:val="003403D7"/>
    <w:rsid w:val="00340B84"/>
    <w:rsid w:val="00340F9A"/>
    <w:rsid w:val="00341198"/>
    <w:rsid w:val="0034126A"/>
    <w:rsid w:val="003415A5"/>
    <w:rsid w:val="00341C6B"/>
    <w:rsid w:val="00341E04"/>
    <w:rsid w:val="003426A1"/>
    <w:rsid w:val="003429C4"/>
    <w:rsid w:val="0034402A"/>
    <w:rsid w:val="00344318"/>
    <w:rsid w:val="00344F44"/>
    <w:rsid w:val="00345621"/>
    <w:rsid w:val="003459EB"/>
    <w:rsid w:val="00346378"/>
    <w:rsid w:val="003464DD"/>
    <w:rsid w:val="00347E23"/>
    <w:rsid w:val="003503DB"/>
    <w:rsid w:val="003505B6"/>
    <w:rsid w:val="00351659"/>
    <w:rsid w:val="00351959"/>
    <w:rsid w:val="0035273D"/>
    <w:rsid w:val="00352AC6"/>
    <w:rsid w:val="003535C0"/>
    <w:rsid w:val="00353899"/>
    <w:rsid w:val="00353DA3"/>
    <w:rsid w:val="003541F9"/>
    <w:rsid w:val="00354AAC"/>
    <w:rsid w:val="00354EC6"/>
    <w:rsid w:val="00355972"/>
    <w:rsid w:val="00355E0D"/>
    <w:rsid w:val="00357045"/>
    <w:rsid w:val="003572B1"/>
    <w:rsid w:val="003573B6"/>
    <w:rsid w:val="00357408"/>
    <w:rsid w:val="003575E4"/>
    <w:rsid w:val="003578F4"/>
    <w:rsid w:val="00360C9C"/>
    <w:rsid w:val="00361844"/>
    <w:rsid w:val="003629FE"/>
    <w:rsid w:val="00362CAB"/>
    <w:rsid w:val="00363493"/>
    <w:rsid w:val="00363B4F"/>
    <w:rsid w:val="00364243"/>
    <w:rsid w:val="00364F8E"/>
    <w:rsid w:val="0036538B"/>
    <w:rsid w:val="003657A3"/>
    <w:rsid w:val="00365857"/>
    <w:rsid w:val="00365A34"/>
    <w:rsid w:val="00366160"/>
    <w:rsid w:val="00366B69"/>
    <w:rsid w:val="00366F39"/>
    <w:rsid w:val="00367A92"/>
    <w:rsid w:val="00367B39"/>
    <w:rsid w:val="00370246"/>
    <w:rsid w:val="003704B2"/>
    <w:rsid w:val="00370798"/>
    <w:rsid w:val="00371735"/>
    <w:rsid w:val="00371CCF"/>
    <w:rsid w:val="00371F75"/>
    <w:rsid w:val="003724B6"/>
    <w:rsid w:val="00372804"/>
    <w:rsid w:val="0037302C"/>
    <w:rsid w:val="00373066"/>
    <w:rsid w:val="0037321F"/>
    <w:rsid w:val="00373AC6"/>
    <w:rsid w:val="003740F3"/>
    <w:rsid w:val="00374F16"/>
    <w:rsid w:val="0037545D"/>
    <w:rsid w:val="00375C18"/>
    <w:rsid w:val="003761D8"/>
    <w:rsid w:val="0037743C"/>
    <w:rsid w:val="003774A6"/>
    <w:rsid w:val="003775F1"/>
    <w:rsid w:val="00377860"/>
    <w:rsid w:val="00380031"/>
    <w:rsid w:val="0038028E"/>
    <w:rsid w:val="00380E6C"/>
    <w:rsid w:val="003815AB"/>
    <w:rsid w:val="003817B1"/>
    <w:rsid w:val="00381A35"/>
    <w:rsid w:val="003820B6"/>
    <w:rsid w:val="00383D6B"/>
    <w:rsid w:val="00383FFF"/>
    <w:rsid w:val="0038403A"/>
    <w:rsid w:val="003841E3"/>
    <w:rsid w:val="00384AC0"/>
    <w:rsid w:val="00384F7B"/>
    <w:rsid w:val="003856A9"/>
    <w:rsid w:val="00385A41"/>
    <w:rsid w:val="00386A50"/>
    <w:rsid w:val="00386AC1"/>
    <w:rsid w:val="00387AD8"/>
    <w:rsid w:val="00390F65"/>
    <w:rsid w:val="0039153D"/>
    <w:rsid w:val="003919B4"/>
    <w:rsid w:val="00392981"/>
    <w:rsid w:val="00392EF4"/>
    <w:rsid w:val="00393502"/>
    <w:rsid w:val="00393E63"/>
    <w:rsid w:val="00394C83"/>
    <w:rsid w:val="00395588"/>
    <w:rsid w:val="0039560C"/>
    <w:rsid w:val="00396052"/>
    <w:rsid w:val="00396A3B"/>
    <w:rsid w:val="00396B6E"/>
    <w:rsid w:val="00397489"/>
    <w:rsid w:val="003979E9"/>
    <w:rsid w:val="00397DC5"/>
    <w:rsid w:val="003A15B4"/>
    <w:rsid w:val="003A2D5D"/>
    <w:rsid w:val="003A392D"/>
    <w:rsid w:val="003A39E5"/>
    <w:rsid w:val="003A40DE"/>
    <w:rsid w:val="003A49B1"/>
    <w:rsid w:val="003A4C92"/>
    <w:rsid w:val="003A4EDD"/>
    <w:rsid w:val="003A53BB"/>
    <w:rsid w:val="003A7795"/>
    <w:rsid w:val="003A77A7"/>
    <w:rsid w:val="003A7AEF"/>
    <w:rsid w:val="003A7CA7"/>
    <w:rsid w:val="003B05A0"/>
    <w:rsid w:val="003B0C6E"/>
    <w:rsid w:val="003B1027"/>
    <w:rsid w:val="003B119C"/>
    <w:rsid w:val="003B15E2"/>
    <w:rsid w:val="003B2370"/>
    <w:rsid w:val="003B468B"/>
    <w:rsid w:val="003B5754"/>
    <w:rsid w:val="003B5C10"/>
    <w:rsid w:val="003B6318"/>
    <w:rsid w:val="003B6377"/>
    <w:rsid w:val="003B638D"/>
    <w:rsid w:val="003B6B1D"/>
    <w:rsid w:val="003B6C75"/>
    <w:rsid w:val="003B718B"/>
    <w:rsid w:val="003B7211"/>
    <w:rsid w:val="003C0E70"/>
    <w:rsid w:val="003C1101"/>
    <w:rsid w:val="003C1173"/>
    <w:rsid w:val="003C12FA"/>
    <w:rsid w:val="003C225E"/>
    <w:rsid w:val="003C249C"/>
    <w:rsid w:val="003C4D34"/>
    <w:rsid w:val="003C5152"/>
    <w:rsid w:val="003C57AB"/>
    <w:rsid w:val="003C5F22"/>
    <w:rsid w:val="003C6E58"/>
    <w:rsid w:val="003C6EE1"/>
    <w:rsid w:val="003C768E"/>
    <w:rsid w:val="003C7FCA"/>
    <w:rsid w:val="003D0082"/>
    <w:rsid w:val="003D028F"/>
    <w:rsid w:val="003D09B4"/>
    <w:rsid w:val="003D09CC"/>
    <w:rsid w:val="003D0B01"/>
    <w:rsid w:val="003D1EA1"/>
    <w:rsid w:val="003D2B25"/>
    <w:rsid w:val="003D2C04"/>
    <w:rsid w:val="003D3276"/>
    <w:rsid w:val="003D33E3"/>
    <w:rsid w:val="003D38E6"/>
    <w:rsid w:val="003D3D03"/>
    <w:rsid w:val="003D4F06"/>
    <w:rsid w:val="003D5084"/>
    <w:rsid w:val="003D531E"/>
    <w:rsid w:val="003D58CA"/>
    <w:rsid w:val="003D5F16"/>
    <w:rsid w:val="003D688C"/>
    <w:rsid w:val="003D6DD3"/>
    <w:rsid w:val="003D7791"/>
    <w:rsid w:val="003D7850"/>
    <w:rsid w:val="003D7B6A"/>
    <w:rsid w:val="003E0A2A"/>
    <w:rsid w:val="003E1354"/>
    <w:rsid w:val="003E1F51"/>
    <w:rsid w:val="003E26B4"/>
    <w:rsid w:val="003E27A3"/>
    <w:rsid w:val="003E27FB"/>
    <w:rsid w:val="003E2B5E"/>
    <w:rsid w:val="003E2D70"/>
    <w:rsid w:val="003E309E"/>
    <w:rsid w:val="003E3306"/>
    <w:rsid w:val="003E34FF"/>
    <w:rsid w:val="003E374C"/>
    <w:rsid w:val="003E3FE8"/>
    <w:rsid w:val="003E40DF"/>
    <w:rsid w:val="003E47AC"/>
    <w:rsid w:val="003E65C1"/>
    <w:rsid w:val="003E72A4"/>
    <w:rsid w:val="003E7A6E"/>
    <w:rsid w:val="003E7ADF"/>
    <w:rsid w:val="003F1289"/>
    <w:rsid w:val="003F14CE"/>
    <w:rsid w:val="003F1AA0"/>
    <w:rsid w:val="003F1D89"/>
    <w:rsid w:val="003F2274"/>
    <w:rsid w:val="003F233D"/>
    <w:rsid w:val="003F24E2"/>
    <w:rsid w:val="003F28AF"/>
    <w:rsid w:val="003F2E5E"/>
    <w:rsid w:val="003F3454"/>
    <w:rsid w:val="003F36B6"/>
    <w:rsid w:val="003F4004"/>
    <w:rsid w:val="003F4408"/>
    <w:rsid w:val="003F463F"/>
    <w:rsid w:val="003F4643"/>
    <w:rsid w:val="003F4C57"/>
    <w:rsid w:val="003F51D4"/>
    <w:rsid w:val="003F5C1B"/>
    <w:rsid w:val="003F5D06"/>
    <w:rsid w:val="003F65E5"/>
    <w:rsid w:val="003F73EA"/>
    <w:rsid w:val="003F7AAB"/>
    <w:rsid w:val="003F7BF0"/>
    <w:rsid w:val="003F7FA4"/>
    <w:rsid w:val="00401F26"/>
    <w:rsid w:val="00402AD8"/>
    <w:rsid w:val="004030B1"/>
    <w:rsid w:val="0040318B"/>
    <w:rsid w:val="004037EA"/>
    <w:rsid w:val="004038C0"/>
    <w:rsid w:val="00405D74"/>
    <w:rsid w:val="004062EF"/>
    <w:rsid w:val="0040692B"/>
    <w:rsid w:val="00406CA4"/>
    <w:rsid w:val="00406CF4"/>
    <w:rsid w:val="004077DB"/>
    <w:rsid w:val="00410C5A"/>
    <w:rsid w:val="00411580"/>
    <w:rsid w:val="00411611"/>
    <w:rsid w:val="0041168E"/>
    <w:rsid w:val="0041200C"/>
    <w:rsid w:val="004129A3"/>
    <w:rsid w:val="00412EFD"/>
    <w:rsid w:val="004131E6"/>
    <w:rsid w:val="0041439C"/>
    <w:rsid w:val="004147A1"/>
    <w:rsid w:val="00414D57"/>
    <w:rsid w:val="00417B5A"/>
    <w:rsid w:val="00417E23"/>
    <w:rsid w:val="00417E88"/>
    <w:rsid w:val="004207D7"/>
    <w:rsid w:val="00420890"/>
    <w:rsid w:val="00420CEB"/>
    <w:rsid w:val="0042235E"/>
    <w:rsid w:val="00422F0F"/>
    <w:rsid w:val="004231A2"/>
    <w:rsid w:val="00423300"/>
    <w:rsid w:val="00423317"/>
    <w:rsid w:val="00423506"/>
    <w:rsid w:val="00424794"/>
    <w:rsid w:val="00424D9A"/>
    <w:rsid w:val="00424FC3"/>
    <w:rsid w:val="004254C8"/>
    <w:rsid w:val="004255C9"/>
    <w:rsid w:val="00425732"/>
    <w:rsid w:val="004257B3"/>
    <w:rsid w:val="00425EB3"/>
    <w:rsid w:val="00426036"/>
    <w:rsid w:val="004268D4"/>
    <w:rsid w:val="004268E5"/>
    <w:rsid w:val="00426A60"/>
    <w:rsid w:val="0043021B"/>
    <w:rsid w:val="00430526"/>
    <w:rsid w:val="00430680"/>
    <w:rsid w:val="00430787"/>
    <w:rsid w:val="0043181E"/>
    <w:rsid w:val="00431C30"/>
    <w:rsid w:val="0043219B"/>
    <w:rsid w:val="004325BF"/>
    <w:rsid w:val="00432E0C"/>
    <w:rsid w:val="004330C7"/>
    <w:rsid w:val="00433260"/>
    <w:rsid w:val="00433D4F"/>
    <w:rsid w:val="004346B8"/>
    <w:rsid w:val="00434F57"/>
    <w:rsid w:val="004352B1"/>
    <w:rsid w:val="00435DB0"/>
    <w:rsid w:val="00437BE8"/>
    <w:rsid w:val="00437D14"/>
    <w:rsid w:val="00437E8F"/>
    <w:rsid w:val="00440070"/>
    <w:rsid w:val="00441C3B"/>
    <w:rsid w:val="004428B9"/>
    <w:rsid w:val="00442C28"/>
    <w:rsid w:val="00442C8E"/>
    <w:rsid w:val="0044312C"/>
    <w:rsid w:val="00445A80"/>
    <w:rsid w:val="004464D1"/>
    <w:rsid w:val="004468F7"/>
    <w:rsid w:val="00446F3E"/>
    <w:rsid w:val="00447463"/>
    <w:rsid w:val="00447916"/>
    <w:rsid w:val="00447AF9"/>
    <w:rsid w:val="00450269"/>
    <w:rsid w:val="00450400"/>
    <w:rsid w:val="004504D4"/>
    <w:rsid w:val="00450732"/>
    <w:rsid w:val="00450E14"/>
    <w:rsid w:val="00451656"/>
    <w:rsid w:val="00451841"/>
    <w:rsid w:val="00451907"/>
    <w:rsid w:val="004521DB"/>
    <w:rsid w:val="0045267F"/>
    <w:rsid w:val="00452AC4"/>
    <w:rsid w:val="00452BD3"/>
    <w:rsid w:val="0045356E"/>
    <w:rsid w:val="00454AE6"/>
    <w:rsid w:val="00455276"/>
    <w:rsid w:val="00456342"/>
    <w:rsid w:val="00457542"/>
    <w:rsid w:val="00457667"/>
    <w:rsid w:val="004576A1"/>
    <w:rsid w:val="00457D5E"/>
    <w:rsid w:val="004603EB"/>
    <w:rsid w:val="00460700"/>
    <w:rsid w:val="004610AA"/>
    <w:rsid w:val="00461387"/>
    <w:rsid w:val="0046154B"/>
    <w:rsid w:val="00461CB0"/>
    <w:rsid w:val="0046227A"/>
    <w:rsid w:val="00462B0F"/>
    <w:rsid w:val="0046451A"/>
    <w:rsid w:val="004648B2"/>
    <w:rsid w:val="00464FDA"/>
    <w:rsid w:val="00465180"/>
    <w:rsid w:val="0046541A"/>
    <w:rsid w:val="00465E3D"/>
    <w:rsid w:val="00466D6E"/>
    <w:rsid w:val="00467710"/>
    <w:rsid w:val="00470ACF"/>
    <w:rsid w:val="004714A7"/>
    <w:rsid w:val="00471F00"/>
    <w:rsid w:val="0047237C"/>
    <w:rsid w:val="0047255E"/>
    <w:rsid w:val="00472641"/>
    <w:rsid w:val="00472EB9"/>
    <w:rsid w:val="0047303D"/>
    <w:rsid w:val="004732F2"/>
    <w:rsid w:val="00473396"/>
    <w:rsid w:val="00473B68"/>
    <w:rsid w:val="00474BA0"/>
    <w:rsid w:val="00474FB0"/>
    <w:rsid w:val="00474FBE"/>
    <w:rsid w:val="00475077"/>
    <w:rsid w:val="004750BE"/>
    <w:rsid w:val="004753E7"/>
    <w:rsid w:val="00475597"/>
    <w:rsid w:val="00475CCE"/>
    <w:rsid w:val="004767B5"/>
    <w:rsid w:val="00476870"/>
    <w:rsid w:val="00476B1C"/>
    <w:rsid w:val="004771A1"/>
    <w:rsid w:val="00477594"/>
    <w:rsid w:val="0048004E"/>
    <w:rsid w:val="00480883"/>
    <w:rsid w:val="00481049"/>
    <w:rsid w:val="00481571"/>
    <w:rsid w:val="004826E3"/>
    <w:rsid w:val="00485884"/>
    <w:rsid w:val="00485B41"/>
    <w:rsid w:val="00486B70"/>
    <w:rsid w:val="00486BAA"/>
    <w:rsid w:val="00487297"/>
    <w:rsid w:val="00487B86"/>
    <w:rsid w:val="00490562"/>
    <w:rsid w:val="004916D1"/>
    <w:rsid w:val="0049305B"/>
    <w:rsid w:val="004930D0"/>
    <w:rsid w:val="004936C8"/>
    <w:rsid w:val="00493B4A"/>
    <w:rsid w:val="00493B8C"/>
    <w:rsid w:val="00493C84"/>
    <w:rsid w:val="004941B0"/>
    <w:rsid w:val="00494387"/>
    <w:rsid w:val="004945C9"/>
    <w:rsid w:val="00494E46"/>
    <w:rsid w:val="0049518F"/>
    <w:rsid w:val="004957CB"/>
    <w:rsid w:val="0049583B"/>
    <w:rsid w:val="00495A93"/>
    <w:rsid w:val="00495BB1"/>
    <w:rsid w:val="00495CEA"/>
    <w:rsid w:val="00495DCD"/>
    <w:rsid w:val="00495F09"/>
    <w:rsid w:val="00496017"/>
    <w:rsid w:val="00496CE7"/>
    <w:rsid w:val="00496E2D"/>
    <w:rsid w:val="00496F2E"/>
    <w:rsid w:val="004973F0"/>
    <w:rsid w:val="004A0453"/>
    <w:rsid w:val="004A1E42"/>
    <w:rsid w:val="004A2AC3"/>
    <w:rsid w:val="004A2F51"/>
    <w:rsid w:val="004A34E3"/>
    <w:rsid w:val="004A4479"/>
    <w:rsid w:val="004A49DF"/>
    <w:rsid w:val="004A4C89"/>
    <w:rsid w:val="004A528F"/>
    <w:rsid w:val="004A53C1"/>
    <w:rsid w:val="004A5C4B"/>
    <w:rsid w:val="004A6258"/>
    <w:rsid w:val="004A67B0"/>
    <w:rsid w:val="004A6AB4"/>
    <w:rsid w:val="004A6FE1"/>
    <w:rsid w:val="004A75AA"/>
    <w:rsid w:val="004B1012"/>
    <w:rsid w:val="004B10BC"/>
    <w:rsid w:val="004B11A5"/>
    <w:rsid w:val="004B249F"/>
    <w:rsid w:val="004B28D9"/>
    <w:rsid w:val="004B32D6"/>
    <w:rsid w:val="004B390D"/>
    <w:rsid w:val="004B5546"/>
    <w:rsid w:val="004B5D0B"/>
    <w:rsid w:val="004B63B7"/>
    <w:rsid w:val="004B768C"/>
    <w:rsid w:val="004B7E65"/>
    <w:rsid w:val="004C0831"/>
    <w:rsid w:val="004C0DD2"/>
    <w:rsid w:val="004C17AE"/>
    <w:rsid w:val="004C1C80"/>
    <w:rsid w:val="004C2713"/>
    <w:rsid w:val="004C2C4D"/>
    <w:rsid w:val="004C2DBA"/>
    <w:rsid w:val="004C33D3"/>
    <w:rsid w:val="004C4D6A"/>
    <w:rsid w:val="004C515E"/>
    <w:rsid w:val="004C51A0"/>
    <w:rsid w:val="004C6013"/>
    <w:rsid w:val="004C6D56"/>
    <w:rsid w:val="004C6E38"/>
    <w:rsid w:val="004C7780"/>
    <w:rsid w:val="004C77EF"/>
    <w:rsid w:val="004C7917"/>
    <w:rsid w:val="004D196C"/>
    <w:rsid w:val="004D19F9"/>
    <w:rsid w:val="004D2C2C"/>
    <w:rsid w:val="004D32C9"/>
    <w:rsid w:val="004D347D"/>
    <w:rsid w:val="004D35AA"/>
    <w:rsid w:val="004D36B8"/>
    <w:rsid w:val="004D3B05"/>
    <w:rsid w:val="004D4771"/>
    <w:rsid w:val="004D4893"/>
    <w:rsid w:val="004D5387"/>
    <w:rsid w:val="004D58E4"/>
    <w:rsid w:val="004D5ACF"/>
    <w:rsid w:val="004D5B32"/>
    <w:rsid w:val="004D6A02"/>
    <w:rsid w:val="004D7003"/>
    <w:rsid w:val="004D7352"/>
    <w:rsid w:val="004D77C9"/>
    <w:rsid w:val="004E021F"/>
    <w:rsid w:val="004E07E8"/>
    <w:rsid w:val="004E26C3"/>
    <w:rsid w:val="004E2807"/>
    <w:rsid w:val="004E38C7"/>
    <w:rsid w:val="004E3C37"/>
    <w:rsid w:val="004E3E40"/>
    <w:rsid w:val="004E43DB"/>
    <w:rsid w:val="004E5790"/>
    <w:rsid w:val="004E5C66"/>
    <w:rsid w:val="004E5CE5"/>
    <w:rsid w:val="004E7448"/>
    <w:rsid w:val="004E759C"/>
    <w:rsid w:val="004E78B6"/>
    <w:rsid w:val="004E79CC"/>
    <w:rsid w:val="004F0054"/>
    <w:rsid w:val="004F0177"/>
    <w:rsid w:val="004F134E"/>
    <w:rsid w:val="004F13EF"/>
    <w:rsid w:val="004F31FE"/>
    <w:rsid w:val="004F3395"/>
    <w:rsid w:val="004F3DBF"/>
    <w:rsid w:val="004F4B1F"/>
    <w:rsid w:val="004F4E94"/>
    <w:rsid w:val="004F5758"/>
    <w:rsid w:val="004F5D1B"/>
    <w:rsid w:val="004F66FD"/>
    <w:rsid w:val="004F6EC4"/>
    <w:rsid w:val="004F6F2E"/>
    <w:rsid w:val="004F7D3D"/>
    <w:rsid w:val="00500D89"/>
    <w:rsid w:val="00500F9C"/>
    <w:rsid w:val="00501C55"/>
    <w:rsid w:val="0050296C"/>
    <w:rsid w:val="0050349F"/>
    <w:rsid w:val="00503FDA"/>
    <w:rsid w:val="0050479F"/>
    <w:rsid w:val="00504A88"/>
    <w:rsid w:val="00504D69"/>
    <w:rsid w:val="00506389"/>
    <w:rsid w:val="005063DA"/>
    <w:rsid w:val="0050717E"/>
    <w:rsid w:val="005074B8"/>
    <w:rsid w:val="00507B33"/>
    <w:rsid w:val="00510069"/>
    <w:rsid w:val="005100C2"/>
    <w:rsid w:val="0051019F"/>
    <w:rsid w:val="00511CCC"/>
    <w:rsid w:val="00511D6A"/>
    <w:rsid w:val="00512E98"/>
    <w:rsid w:val="00513195"/>
    <w:rsid w:val="005132EF"/>
    <w:rsid w:val="005134C8"/>
    <w:rsid w:val="00513552"/>
    <w:rsid w:val="005136A8"/>
    <w:rsid w:val="00515A33"/>
    <w:rsid w:val="00515B38"/>
    <w:rsid w:val="00515FCC"/>
    <w:rsid w:val="00517141"/>
    <w:rsid w:val="00517A5B"/>
    <w:rsid w:val="00520425"/>
    <w:rsid w:val="005204EC"/>
    <w:rsid w:val="00520715"/>
    <w:rsid w:val="00520EC4"/>
    <w:rsid w:val="00521093"/>
    <w:rsid w:val="00521C53"/>
    <w:rsid w:val="00521C91"/>
    <w:rsid w:val="00521CBC"/>
    <w:rsid w:val="0052297B"/>
    <w:rsid w:val="00522D0A"/>
    <w:rsid w:val="00523412"/>
    <w:rsid w:val="00523DDA"/>
    <w:rsid w:val="00523FC4"/>
    <w:rsid w:val="0052404A"/>
    <w:rsid w:val="005240AF"/>
    <w:rsid w:val="0052565F"/>
    <w:rsid w:val="00525C92"/>
    <w:rsid w:val="00525D74"/>
    <w:rsid w:val="00526F7D"/>
    <w:rsid w:val="005305A0"/>
    <w:rsid w:val="00530C44"/>
    <w:rsid w:val="00531D46"/>
    <w:rsid w:val="00532357"/>
    <w:rsid w:val="005328EF"/>
    <w:rsid w:val="00532AA3"/>
    <w:rsid w:val="00532DAD"/>
    <w:rsid w:val="005336F2"/>
    <w:rsid w:val="005344BD"/>
    <w:rsid w:val="005352BD"/>
    <w:rsid w:val="005358DF"/>
    <w:rsid w:val="00535C27"/>
    <w:rsid w:val="005363D6"/>
    <w:rsid w:val="00536414"/>
    <w:rsid w:val="00536CAC"/>
    <w:rsid w:val="00537368"/>
    <w:rsid w:val="00537733"/>
    <w:rsid w:val="0053780A"/>
    <w:rsid w:val="005400A7"/>
    <w:rsid w:val="00540CD7"/>
    <w:rsid w:val="00541518"/>
    <w:rsid w:val="00541AB9"/>
    <w:rsid w:val="00541D44"/>
    <w:rsid w:val="005430D4"/>
    <w:rsid w:val="00544551"/>
    <w:rsid w:val="005450C3"/>
    <w:rsid w:val="00545246"/>
    <w:rsid w:val="00546270"/>
    <w:rsid w:val="00546CDA"/>
    <w:rsid w:val="00550026"/>
    <w:rsid w:val="005509DE"/>
    <w:rsid w:val="00550FBE"/>
    <w:rsid w:val="00551927"/>
    <w:rsid w:val="00551D1E"/>
    <w:rsid w:val="0055228D"/>
    <w:rsid w:val="00552BAB"/>
    <w:rsid w:val="00552BEC"/>
    <w:rsid w:val="00552C4C"/>
    <w:rsid w:val="0055356A"/>
    <w:rsid w:val="00553989"/>
    <w:rsid w:val="00553D88"/>
    <w:rsid w:val="005541CA"/>
    <w:rsid w:val="0055662B"/>
    <w:rsid w:val="0055701D"/>
    <w:rsid w:val="00557098"/>
    <w:rsid w:val="00557BF7"/>
    <w:rsid w:val="00557C7C"/>
    <w:rsid w:val="00557D44"/>
    <w:rsid w:val="00560E36"/>
    <w:rsid w:val="00561D04"/>
    <w:rsid w:val="00561DCC"/>
    <w:rsid w:val="00562109"/>
    <w:rsid w:val="0056215A"/>
    <w:rsid w:val="0056276D"/>
    <w:rsid w:val="005629CD"/>
    <w:rsid w:val="00563013"/>
    <w:rsid w:val="005632BC"/>
    <w:rsid w:val="005634B1"/>
    <w:rsid w:val="00563B42"/>
    <w:rsid w:val="00564121"/>
    <w:rsid w:val="00564528"/>
    <w:rsid w:val="00564D9E"/>
    <w:rsid w:val="005655A9"/>
    <w:rsid w:val="00565E18"/>
    <w:rsid w:val="005662EC"/>
    <w:rsid w:val="00566583"/>
    <w:rsid w:val="00566804"/>
    <w:rsid w:val="005672A8"/>
    <w:rsid w:val="005673D0"/>
    <w:rsid w:val="00567730"/>
    <w:rsid w:val="005679AD"/>
    <w:rsid w:val="00570D16"/>
    <w:rsid w:val="0057243D"/>
    <w:rsid w:val="00572711"/>
    <w:rsid w:val="0057278C"/>
    <w:rsid w:val="00573548"/>
    <w:rsid w:val="0057357F"/>
    <w:rsid w:val="00573D5E"/>
    <w:rsid w:val="005742BB"/>
    <w:rsid w:val="00574428"/>
    <w:rsid w:val="0057494B"/>
    <w:rsid w:val="00574C26"/>
    <w:rsid w:val="00575386"/>
    <w:rsid w:val="0057573F"/>
    <w:rsid w:val="00576057"/>
    <w:rsid w:val="00576330"/>
    <w:rsid w:val="00577698"/>
    <w:rsid w:val="00577F2B"/>
    <w:rsid w:val="0058008A"/>
    <w:rsid w:val="005813B6"/>
    <w:rsid w:val="005824AE"/>
    <w:rsid w:val="00582C4E"/>
    <w:rsid w:val="005840A4"/>
    <w:rsid w:val="00584A40"/>
    <w:rsid w:val="00584ED1"/>
    <w:rsid w:val="005852DD"/>
    <w:rsid w:val="00585310"/>
    <w:rsid w:val="00585325"/>
    <w:rsid w:val="00585491"/>
    <w:rsid w:val="005854C5"/>
    <w:rsid w:val="00585500"/>
    <w:rsid w:val="00585840"/>
    <w:rsid w:val="00585C1C"/>
    <w:rsid w:val="00587826"/>
    <w:rsid w:val="00587CF5"/>
    <w:rsid w:val="00590591"/>
    <w:rsid w:val="00591323"/>
    <w:rsid w:val="00591FB1"/>
    <w:rsid w:val="005920E0"/>
    <w:rsid w:val="00592103"/>
    <w:rsid w:val="00593752"/>
    <w:rsid w:val="00593763"/>
    <w:rsid w:val="0059497F"/>
    <w:rsid w:val="005968AD"/>
    <w:rsid w:val="00596BA0"/>
    <w:rsid w:val="00596D70"/>
    <w:rsid w:val="00596FD4"/>
    <w:rsid w:val="005A0C5C"/>
    <w:rsid w:val="005A0D7C"/>
    <w:rsid w:val="005A0FF7"/>
    <w:rsid w:val="005A150D"/>
    <w:rsid w:val="005A2CBA"/>
    <w:rsid w:val="005A35F7"/>
    <w:rsid w:val="005A360E"/>
    <w:rsid w:val="005A40FD"/>
    <w:rsid w:val="005A4812"/>
    <w:rsid w:val="005A492E"/>
    <w:rsid w:val="005A496A"/>
    <w:rsid w:val="005A516A"/>
    <w:rsid w:val="005A57C0"/>
    <w:rsid w:val="005A58AD"/>
    <w:rsid w:val="005A724C"/>
    <w:rsid w:val="005A7326"/>
    <w:rsid w:val="005A73CE"/>
    <w:rsid w:val="005A7B1A"/>
    <w:rsid w:val="005B02AE"/>
    <w:rsid w:val="005B0410"/>
    <w:rsid w:val="005B07AB"/>
    <w:rsid w:val="005B0F1D"/>
    <w:rsid w:val="005B1B25"/>
    <w:rsid w:val="005B1C78"/>
    <w:rsid w:val="005B1E96"/>
    <w:rsid w:val="005B2D58"/>
    <w:rsid w:val="005B30E0"/>
    <w:rsid w:val="005B33CD"/>
    <w:rsid w:val="005B33FA"/>
    <w:rsid w:val="005B42DB"/>
    <w:rsid w:val="005B4715"/>
    <w:rsid w:val="005B4A43"/>
    <w:rsid w:val="005B5439"/>
    <w:rsid w:val="005B660A"/>
    <w:rsid w:val="005B6F1E"/>
    <w:rsid w:val="005B70A1"/>
    <w:rsid w:val="005B73F9"/>
    <w:rsid w:val="005B768E"/>
    <w:rsid w:val="005B7C75"/>
    <w:rsid w:val="005C03F2"/>
    <w:rsid w:val="005C08D6"/>
    <w:rsid w:val="005C0C40"/>
    <w:rsid w:val="005C0FBC"/>
    <w:rsid w:val="005C1D44"/>
    <w:rsid w:val="005C1D9F"/>
    <w:rsid w:val="005C23C3"/>
    <w:rsid w:val="005C4B38"/>
    <w:rsid w:val="005C6499"/>
    <w:rsid w:val="005C6D8B"/>
    <w:rsid w:val="005C6FF7"/>
    <w:rsid w:val="005C713D"/>
    <w:rsid w:val="005D0BF2"/>
    <w:rsid w:val="005D127E"/>
    <w:rsid w:val="005D188A"/>
    <w:rsid w:val="005D20B2"/>
    <w:rsid w:val="005D2F89"/>
    <w:rsid w:val="005D478F"/>
    <w:rsid w:val="005D4E66"/>
    <w:rsid w:val="005D523B"/>
    <w:rsid w:val="005D559D"/>
    <w:rsid w:val="005D58E0"/>
    <w:rsid w:val="005D59B9"/>
    <w:rsid w:val="005D5ACA"/>
    <w:rsid w:val="005D6B84"/>
    <w:rsid w:val="005D72C5"/>
    <w:rsid w:val="005D771C"/>
    <w:rsid w:val="005E10F5"/>
    <w:rsid w:val="005E2C6A"/>
    <w:rsid w:val="005E3B66"/>
    <w:rsid w:val="005E3C71"/>
    <w:rsid w:val="005E46F0"/>
    <w:rsid w:val="005E49A3"/>
    <w:rsid w:val="005E50D1"/>
    <w:rsid w:val="005E5978"/>
    <w:rsid w:val="005E7E1D"/>
    <w:rsid w:val="005F1D0E"/>
    <w:rsid w:val="005F1E63"/>
    <w:rsid w:val="005F1E97"/>
    <w:rsid w:val="005F273F"/>
    <w:rsid w:val="005F2BE8"/>
    <w:rsid w:val="005F2D86"/>
    <w:rsid w:val="005F3703"/>
    <w:rsid w:val="005F42B2"/>
    <w:rsid w:val="005F4484"/>
    <w:rsid w:val="005F496D"/>
    <w:rsid w:val="005F50CB"/>
    <w:rsid w:val="005F691B"/>
    <w:rsid w:val="005F717B"/>
    <w:rsid w:val="005F75C3"/>
    <w:rsid w:val="005F7D3B"/>
    <w:rsid w:val="00600A65"/>
    <w:rsid w:val="00600BB8"/>
    <w:rsid w:val="00601042"/>
    <w:rsid w:val="0060122A"/>
    <w:rsid w:val="00602F6A"/>
    <w:rsid w:val="006039C6"/>
    <w:rsid w:val="0060468C"/>
    <w:rsid w:val="006054BB"/>
    <w:rsid w:val="00605939"/>
    <w:rsid w:val="006059D6"/>
    <w:rsid w:val="006061C4"/>
    <w:rsid w:val="00606CB8"/>
    <w:rsid w:val="00607BD8"/>
    <w:rsid w:val="00610300"/>
    <w:rsid w:val="00610330"/>
    <w:rsid w:val="0061058B"/>
    <w:rsid w:val="00610C39"/>
    <w:rsid w:val="00612319"/>
    <w:rsid w:val="00612A82"/>
    <w:rsid w:val="00613546"/>
    <w:rsid w:val="00613808"/>
    <w:rsid w:val="00613C33"/>
    <w:rsid w:val="006148DF"/>
    <w:rsid w:val="00614DBA"/>
    <w:rsid w:val="00614F5B"/>
    <w:rsid w:val="006153D9"/>
    <w:rsid w:val="00615D6B"/>
    <w:rsid w:val="00616092"/>
    <w:rsid w:val="006160A2"/>
    <w:rsid w:val="006172B7"/>
    <w:rsid w:val="00620733"/>
    <w:rsid w:val="0062100C"/>
    <w:rsid w:val="00622A0A"/>
    <w:rsid w:val="00626966"/>
    <w:rsid w:val="00626A9C"/>
    <w:rsid w:val="00626E77"/>
    <w:rsid w:val="0062792C"/>
    <w:rsid w:val="00627A27"/>
    <w:rsid w:val="006306D3"/>
    <w:rsid w:val="00630B28"/>
    <w:rsid w:val="006320C8"/>
    <w:rsid w:val="0063220E"/>
    <w:rsid w:val="00632400"/>
    <w:rsid w:val="00633106"/>
    <w:rsid w:val="0063315A"/>
    <w:rsid w:val="00634341"/>
    <w:rsid w:val="006347D6"/>
    <w:rsid w:val="006350FE"/>
    <w:rsid w:val="0063662C"/>
    <w:rsid w:val="00636675"/>
    <w:rsid w:val="00636B63"/>
    <w:rsid w:val="00636CE2"/>
    <w:rsid w:val="00637164"/>
    <w:rsid w:val="00637887"/>
    <w:rsid w:val="00637AF3"/>
    <w:rsid w:val="00641851"/>
    <w:rsid w:val="00641BF7"/>
    <w:rsid w:val="00641F81"/>
    <w:rsid w:val="00641F98"/>
    <w:rsid w:val="0064203A"/>
    <w:rsid w:val="00642CE3"/>
    <w:rsid w:val="00642FB1"/>
    <w:rsid w:val="0064408D"/>
    <w:rsid w:val="00644C0F"/>
    <w:rsid w:val="006455D3"/>
    <w:rsid w:val="00645EAF"/>
    <w:rsid w:val="00646568"/>
    <w:rsid w:val="0064695B"/>
    <w:rsid w:val="00647276"/>
    <w:rsid w:val="006478BF"/>
    <w:rsid w:val="00647C97"/>
    <w:rsid w:val="00650009"/>
    <w:rsid w:val="0065037E"/>
    <w:rsid w:val="00650EC1"/>
    <w:rsid w:val="00651E1E"/>
    <w:rsid w:val="00651E20"/>
    <w:rsid w:val="006528E0"/>
    <w:rsid w:val="00652FE6"/>
    <w:rsid w:val="0065387B"/>
    <w:rsid w:val="0065398E"/>
    <w:rsid w:val="006542E1"/>
    <w:rsid w:val="006546B9"/>
    <w:rsid w:val="00654E22"/>
    <w:rsid w:val="0065531F"/>
    <w:rsid w:val="006557E4"/>
    <w:rsid w:val="0065614A"/>
    <w:rsid w:val="00656412"/>
    <w:rsid w:val="0065644E"/>
    <w:rsid w:val="006564CE"/>
    <w:rsid w:val="0065697D"/>
    <w:rsid w:val="00656FE1"/>
    <w:rsid w:val="00657113"/>
    <w:rsid w:val="00660D81"/>
    <w:rsid w:val="006619A3"/>
    <w:rsid w:val="00662041"/>
    <w:rsid w:val="00662128"/>
    <w:rsid w:val="00662506"/>
    <w:rsid w:val="006627A7"/>
    <w:rsid w:val="006636F6"/>
    <w:rsid w:val="00663B29"/>
    <w:rsid w:val="0066456E"/>
    <w:rsid w:val="0066497B"/>
    <w:rsid w:val="00664A2B"/>
    <w:rsid w:val="006657AA"/>
    <w:rsid w:val="00666E46"/>
    <w:rsid w:val="006670CC"/>
    <w:rsid w:val="006671FD"/>
    <w:rsid w:val="0066720E"/>
    <w:rsid w:val="006678FB"/>
    <w:rsid w:val="00670838"/>
    <w:rsid w:val="00670B46"/>
    <w:rsid w:val="00671623"/>
    <w:rsid w:val="006725A6"/>
    <w:rsid w:val="00673024"/>
    <w:rsid w:val="006741D5"/>
    <w:rsid w:val="0067539D"/>
    <w:rsid w:val="006755B7"/>
    <w:rsid w:val="00675855"/>
    <w:rsid w:val="006763EF"/>
    <w:rsid w:val="00676474"/>
    <w:rsid w:val="00680386"/>
    <w:rsid w:val="006808D7"/>
    <w:rsid w:val="0068203E"/>
    <w:rsid w:val="006829C7"/>
    <w:rsid w:val="00683107"/>
    <w:rsid w:val="00683DC0"/>
    <w:rsid w:val="00683F41"/>
    <w:rsid w:val="006842AB"/>
    <w:rsid w:val="006854F6"/>
    <w:rsid w:val="0068557F"/>
    <w:rsid w:val="00685F83"/>
    <w:rsid w:val="00687158"/>
    <w:rsid w:val="00687CA1"/>
    <w:rsid w:val="0069044C"/>
    <w:rsid w:val="00690DFE"/>
    <w:rsid w:val="00691736"/>
    <w:rsid w:val="0069213F"/>
    <w:rsid w:val="0069238A"/>
    <w:rsid w:val="00692AFD"/>
    <w:rsid w:val="00692D30"/>
    <w:rsid w:val="00692FC3"/>
    <w:rsid w:val="00692FED"/>
    <w:rsid w:val="0069338A"/>
    <w:rsid w:val="0069419E"/>
    <w:rsid w:val="00695202"/>
    <w:rsid w:val="00695A11"/>
    <w:rsid w:val="00695E04"/>
    <w:rsid w:val="0069663E"/>
    <w:rsid w:val="006967E6"/>
    <w:rsid w:val="006968DA"/>
    <w:rsid w:val="00696970"/>
    <w:rsid w:val="006972B7"/>
    <w:rsid w:val="006976F7"/>
    <w:rsid w:val="006979BB"/>
    <w:rsid w:val="00697B03"/>
    <w:rsid w:val="006A2193"/>
    <w:rsid w:val="006A23C6"/>
    <w:rsid w:val="006A29D5"/>
    <w:rsid w:val="006A3A0E"/>
    <w:rsid w:val="006A3EAC"/>
    <w:rsid w:val="006A41EC"/>
    <w:rsid w:val="006A4385"/>
    <w:rsid w:val="006A501F"/>
    <w:rsid w:val="006A64E9"/>
    <w:rsid w:val="006A64FC"/>
    <w:rsid w:val="006A65A4"/>
    <w:rsid w:val="006A7D74"/>
    <w:rsid w:val="006B0C36"/>
    <w:rsid w:val="006B118B"/>
    <w:rsid w:val="006B1A0C"/>
    <w:rsid w:val="006B27D9"/>
    <w:rsid w:val="006B2E9E"/>
    <w:rsid w:val="006B3E42"/>
    <w:rsid w:val="006B5222"/>
    <w:rsid w:val="006B551E"/>
    <w:rsid w:val="006B586E"/>
    <w:rsid w:val="006B6534"/>
    <w:rsid w:val="006B6E6B"/>
    <w:rsid w:val="006B7573"/>
    <w:rsid w:val="006B7829"/>
    <w:rsid w:val="006C0746"/>
    <w:rsid w:val="006C0D04"/>
    <w:rsid w:val="006C1277"/>
    <w:rsid w:val="006C1339"/>
    <w:rsid w:val="006C256F"/>
    <w:rsid w:val="006C2D29"/>
    <w:rsid w:val="006C3229"/>
    <w:rsid w:val="006C32DD"/>
    <w:rsid w:val="006C4FED"/>
    <w:rsid w:val="006C58BE"/>
    <w:rsid w:val="006C5C9D"/>
    <w:rsid w:val="006C6E83"/>
    <w:rsid w:val="006C75FA"/>
    <w:rsid w:val="006C79F5"/>
    <w:rsid w:val="006C7A23"/>
    <w:rsid w:val="006D0E0E"/>
    <w:rsid w:val="006D16F6"/>
    <w:rsid w:val="006D302F"/>
    <w:rsid w:val="006D334E"/>
    <w:rsid w:val="006D3C89"/>
    <w:rsid w:val="006D4055"/>
    <w:rsid w:val="006D4FC6"/>
    <w:rsid w:val="006D66A6"/>
    <w:rsid w:val="006D68A5"/>
    <w:rsid w:val="006D6A8B"/>
    <w:rsid w:val="006D6D7E"/>
    <w:rsid w:val="006D79C7"/>
    <w:rsid w:val="006E01D1"/>
    <w:rsid w:val="006E087D"/>
    <w:rsid w:val="006E0991"/>
    <w:rsid w:val="006E0DE7"/>
    <w:rsid w:val="006E0FF8"/>
    <w:rsid w:val="006E1BB7"/>
    <w:rsid w:val="006E2EFA"/>
    <w:rsid w:val="006E2F01"/>
    <w:rsid w:val="006E32DE"/>
    <w:rsid w:val="006E436A"/>
    <w:rsid w:val="006E4527"/>
    <w:rsid w:val="006E47EB"/>
    <w:rsid w:val="006E51EC"/>
    <w:rsid w:val="006E53D6"/>
    <w:rsid w:val="006E5928"/>
    <w:rsid w:val="006E5AB4"/>
    <w:rsid w:val="006E5BC0"/>
    <w:rsid w:val="006E6863"/>
    <w:rsid w:val="006E763A"/>
    <w:rsid w:val="006E7790"/>
    <w:rsid w:val="006E7A66"/>
    <w:rsid w:val="006F0801"/>
    <w:rsid w:val="006F0A97"/>
    <w:rsid w:val="006F0B74"/>
    <w:rsid w:val="006F2703"/>
    <w:rsid w:val="006F2A08"/>
    <w:rsid w:val="006F2A23"/>
    <w:rsid w:val="006F2C9D"/>
    <w:rsid w:val="006F3B9F"/>
    <w:rsid w:val="006F3E90"/>
    <w:rsid w:val="006F4159"/>
    <w:rsid w:val="006F44AC"/>
    <w:rsid w:val="006F4505"/>
    <w:rsid w:val="006F4AB3"/>
    <w:rsid w:val="006F4C7A"/>
    <w:rsid w:val="006F4E22"/>
    <w:rsid w:val="006F5B0E"/>
    <w:rsid w:val="006F624D"/>
    <w:rsid w:val="006F6273"/>
    <w:rsid w:val="006F6C24"/>
    <w:rsid w:val="006F73CB"/>
    <w:rsid w:val="0070072E"/>
    <w:rsid w:val="007014D1"/>
    <w:rsid w:val="0070240A"/>
    <w:rsid w:val="00703869"/>
    <w:rsid w:val="00705287"/>
    <w:rsid w:val="00705466"/>
    <w:rsid w:val="0070548B"/>
    <w:rsid w:val="00705747"/>
    <w:rsid w:val="00705AE2"/>
    <w:rsid w:val="00706070"/>
    <w:rsid w:val="00706E97"/>
    <w:rsid w:val="0070768C"/>
    <w:rsid w:val="00707C11"/>
    <w:rsid w:val="00710114"/>
    <w:rsid w:val="00710162"/>
    <w:rsid w:val="00710B03"/>
    <w:rsid w:val="007125F4"/>
    <w:rsid w:val="00713926"/>
    <w:rsid w:val="00714532"/>
    <w:rsid w:val="00714C16"/>
    <w:rsid w:val="00715703"/>
    <w:rsid w:val="00715CE7"/>
    <w:rsid w:val="00715EF8"/>
    <w:rsid w:val="0071659F"/>
    <w:rsid w:val="00716852"/>
    <w:rsid w:val="00716BE5"/>
    <w:rsid w:val="00717F2F"/>
    <w:rsid w:val="007206E5"/>
    <w:rsid w:val="00721380"/>
    <w:rsid w:val="00721B99"/>
    <w:rsid w:val="00721BC0"/>
    <w:rsid w:val="00721E76"/>
    <w:rsid w:val="007221A1"/>
    <w:rsid w:val="00723662"/>
    <w:rsid w:val="00723E78"/>
    <w:rsid w:val="00724943"/>
    <w:rsid w:val="00724F5D"/>
    <w:rsid w:val="00725539"/>
    <w:rsid w:val="00725D61"/>
    <w:rsid w:val="00726DAB"/>
    <w:rsid w:val="00727181"/>
    <w:rsid w:val="007273C3"/>
    <w:rsid w:val="00727693"/>
    <w:rsid w:val="0072771C"/>
    <w:rsid w:val="00730E7B"/>
    <w:rsid w:val="00730E8D"/>
    <w:rsid w:val="00731328"/>
    <w:rsid w:val="0073161E"/>
    <w:rsid w:val="00731E0C"/>
    <w:rsid w:val="00732AF1"/>
    <w:rsid w:val="00732CEA"/>
    <w:rsid w:val="00732FA2"/>
    <w:rsid w:val="0073378D"/>
    <w:rsid w:val="00733EF8"/>
    <w:rsid w:val="007342A5"/>
    <w:rsid w:val="00734A46"/>
    <w:rsid w:val="00736C03"/>
    <w:rsid w:val="00736E7F"/>
    <w:rsid w:val="0073708E"/>
    <w:rsid w:val="00737245"/>
    <w:rsid w:val="00737CA6"/>
    <w:rsid w:val="0074133D"/>
    <w:rsid w:val="00741AD1"/>
    <w:rsid w:val="007420E1"/>
    <w:rsid w:val="007424F7"/>
    <w:rsid w:val="00742D5D"/>
    <w:rsid w:val="00742D6A"/>
    <w:rsid w:val="00743461"/>
    <w:rsid w:val="00743AD3"/>
    <w:rsid w:val="00744242"/>
    <w:rsid w:val="00745516"/>
    <w:rsid w:val="007457BB"/>
    <w:rsid w:val="0074625F"/>
    <w:rsid w:val="00747692"/>
    <w:rsid w:val="00751380"/>
    <w:rsid w:val="007528FF"/>
    <w:rsid w:val="00752C0E"/>
    <w:rsid w:val="00753951"/>
    <w:rsid w:val="00754130"/>
    <w:rsid w:val="00754BB9"/>
    <w:rsid w:val="00754C51"/>
    <w:rsid w:val="00754E31"/>
    <w:rsid w:val="007553BE"/>
    <w:rsid w:val="00755C24"/>
    <w:rsid w:val="00755DD9"/>
    <w:rsid w:val="00755FAC"/>
    <w:rsid w:val="00756792"/>
    <w:rsid w:val="00756A5D"/>
    <w:rsid w:val="00756DD2"/>
    <w:rsid w:val="00756EA0"/>
    <w:rsid w:val="00757993"/>
    <w:rsid w:val="00757B3B"/>
    <w:rsid w:val="00760032"/>
    <w:rsid w:val="007602DF"/>
    <w:rsid w:val="00760B61"/>
    <w:rsid w:val="007615AF"/>
    <w:rsid w:val="0076173A"/>
    <w:rsid w:val="00761894"/>
    <w:rsid w:val="007618FF"/>
    <w:rsid w:val="00761A81"/>
    <w:rsid w:val="00761EC0"/>
    <w:rsid w:val="0076277E"/>
    <w:rsid w:val="00762B5E"/>
    <w:rsid w:val="00763956"/>
    <w:rsid w:val="00763A81"/>
    <w:rsid w:val="00763F78"/>
    <w:rsid w:val="00764B09"/>
    <w:rsid w:val="00765077"/>
    <w:rsid w:val="007656BD"/>
    <w:rsid w:val="007657A1"/>
    <w:rsid w:val="0076698E"/>
    <w:rsid w:val="00767274"/>
    <w:rsid w:val="00767645"/>
    <w:rsid w:val="00770229"/>
    <w:rsid w:val="0077076A"/>
    <w:rsid w:val="007709A2"/>
    <w:rsid w:val="00770D0D"/>
    <w:rsid w:val="007718F8"/>
    <w:rsid w:val="00771CD4"/>
    <w:rsid w:val="00772A93"/>
    <w:rsid w:val="00773CA5"/>
    <w:rsid w:val="00774428"/>
    <w:rsid w:val="007747FB"/>
    <w:rsid w:val="00774BC6"/>
    <w:rsid w:val="00776BB3"/>
    <w:rsid w:val="00776C0F"/>
    <w:rsid w:val="00780599"/>
    <w:rsid w:val="00782964"/>
    <w:rsid w:val="007835AB"/>
    <w:rsid w:val="007838A6"/>
    <w:rsid w:val="007841FF"/>
    <w:rsid w:val="0078460B"/>
    <w:rsid w:val="0078466F"/>
    <w:rsid w:val="00784B3D"/>
    <w:rsid w:val="00785391"/>
    <w:rsid w:val="00786092"/>
    <w:rsid w:val="00786A95"/>
    <w:rsid w:val="007879F4"/>
    <w:rsid w:val="00787FB7"/>
    <w:rsid w:val="007908D9"/>
    <w:rsid w:val="0079116C"/>
    <w:rsid w:val="00791A14"/>
    <w:rsid w:val="00792944"/>
    <w:rsid w:val="0079337F"/>
    <w:rsid w:val="00793C1B"/>
    <w:rsid w:val="0079432B"/>
    <w:rsid w:val="007957C6"/>
    <w:rsid w:val="00795E9E"/>
    <w:rsid w:val="00797095"/>
    <w:rsid w:val="0079728F"/>
    <w:rsid w:val="00797D8F"/>
    <w:rsid w:val="00797EAD"/>
    <w:rsid w:val="007A0B37"/>
    <w:rsid w:val="007A129C"/>
    <w:rsid w:val="007A145E"/>
    <w:rsid w:val="007A1F86"/>
    <w:rsid w:val="007A2969"/>
    <w:rsid w:val="007A2CC7"/>
    <w:rsid w:val="007A36D3"/>
    <w:rsid w:val="007A37FD"/>
    <w:rsid w:val="007A394E"/>
    <w:rsid w:val="007A465C"/>
    <w:rsid w:val="007A4C14"/>
    <w:rsid w:val="007A511B"/>
    <w:rsid w:val="007A54D3"/>
    <w:rsid w:val="007A5679"/>
    <w:rsid w:val="007A63C2"/>
    <w:rsid w:val="007A6EA2"/>
    <w:rsid w:val="007A7319"/>
    <w:rsid w:val="007A7E83"/>
    <w:rsid w:val="007B043B"/>
    <w:rsid w:val="007B0763"/>
    <w:rsid w:val="007B19C8"/>
    <w:rsid w:val="007B1F4B"/>
    <w:rsid w:val="007B208B"/>
    <w:rsid w:val="007B22EC"/>
    <w:rsid w:val="007B2860"/>
    <w:rsid w:val="007B296B"/>
    <w:rsid w:val="007B2BE4"/>
    <w:rsid w:val="007B2C82"/>
    <w:rsid w:val="007B305D"/>
    <w:rsid w:val="007B5C2F"/>
    <w:rsid w:val="007B5FF9"/>
    <w:rsid w:val="007B6F2E"/>
    <w:rsid w:val="007B71D4"/>
    <w:rsid w:val="007B7945"/>
    <w:rsid w:val="007C02C2"/>
    <w:rsid w:val="007C0419"/>
    <w:rsid w:val="007C0BA4"/>
    <w:rsid w:val="007C0FAF"/>
    <w:rsid w:val="007C1AAB"/>
    <w:rsid w:val="007C2579"/>
    <w:rsid w:val="007C2D9F"/>
    <w:rsid w:val="007C335E"/>
    <w:rsid w:val="007C394A"/>
    <w:rsid w:val="007C3AA1"/>
    <w:rsid w:val="007C4764"/>
    <w:rsid w:val="007C4D09"/>
    <w:rsid w:val="007C4FD4"/>
    <w:rsid w:val="007C520D"/>
    <w:rsid w:val="007C7F84"/>
    <w:rsid w:val="007D0227"/>
    <w:rsid w:val="007D12CB"/>
    <w:rsid w:val="007D30DD"/>
    <w:rsid w:val="007D4478"/>
    <w:rsid w:val="007D473D"/>
    <w:rsid w:val="007D4D9B"/>
    <w:rsid w:val="007D4F13"/>
    <w:rsid w:val="007D5C6A"/>
    <w:rsid w:val="007D61E3"/>
    <w:rsid w:val="007D6BD8"/>
    <w:rsid w:val="007D6C65"/>
    <w:rsid w:val="007D748E"/>
    <w:rsid w:val="007D7D95"/>
    <w:rsid w:val="007E042D"/>
    <w:rsid w:val="007E0ACE"/>
    <w:rsid w:val="007E0F5E"/>
    <w:rsid w:val="007E1720"/>
    <w:rsid w:val="007E1DFB"/>
    <w:rsid w:val="007E201E"/>
    <w:rsid w:val="007E272D"/>
    <w:rsid w:val="007E2800"/>
    <w:rsid w:val="007E3446"/>
    <w:rsid w:val="007E461C"/>
    <w:rsid w:val="007E4634"/>
    <w:rsid w:val="007E46CC"/>
    <w:rsid w:val="007E786D"/>
    <w:rsid w:val="007E7F2B"/>
    <w:rsid w:val="007F00CD"/>
    <w:rsid w:val="007F0D60"/>
    <w:rsid w:val="007F0FA6"/>
    <w:rsid w:val="007F1BCB"/>
    <w:rsid w:val="007F21FD"/>
    <w:rsid w:val="007F2F8E"/>
    <w:rsid w:val="007F433F"/>
    <w:rsid w:val="007F502E"/>
    <w:rsid w:val="007F50A5"/>
    <w:rsid w:val="007F59E6"/>
    <w:rsid w:val="007F59F6"/>
    <w:rsid w:val="007F5D2E"/>
    <w:rsid w:val="007F6B1A"/>
    <w:rsid w:val="007F6DC1"/>
    <w:rsid w:val="007F6EE8"/>
    <w:rsid w:val="007F74AC"/>
    <w:rsid w:val="00800F9D"/>
    <w:rsid w:val="00801A3E"/>
    <w:rsid w:val="00801B89"/>
    <w:rsid w:val="008021C6"/>
    <w:rsid w:val="00802594"/>
    <w:rsid w:val="008028C4"/>
    <w:rsid w:val="0080339F"/>
    <w:rsid w:val="008037A6"/>
    <w:rsid w:val="008045CE"/>
    <w:rsid w:val="00804ECF"/>
    <w:rsid w:val="0080552A"/>
    <w:rsid w:val="00806E1B"/>
    <w:rsid w:val="00806E40"/>
    <w:rsid w:val="008104A2"/>
    <w:rsid w:val="00810771"/>
    <w:rsid w:val="00811157"/>
    <w:rsid w:val="00811D2D"/>
    <w:rsid w:val="00811E78"/>
    <w:rsid w:val="008123CA"/>
    <w:rsid w:val="00812572"/>
    <w:rsid w:val="00812641"/>
    <w:rsid w:val="00813BA3"/>
    <w:rsid w:val="00814057"/>
    <w:rsid w:val="00814CCA"/>
    <w:rsid w:val="008152CC"/>
    <w:rsid w:val="00815923"/>
    <w:rsid w:val="00816715"/>
    <w:rsid w:val="00816E85"/>
    <w:rsid w:val="0082015F"/>
    <w:rsid w:val="00821114"/>
    <w:rsid w:val="00821866"/>
    <w:rsid w:val="00821FBC"/>
    <w:rsid w:val="00822555"/>
    <w:rsid w:val="00822876"/>
    <w:rsid w:val="00822BD0"/>
    <w:rsid w:val="00823AE8"/>
    <w:rsid w:val="00823D70"/>
    <w:rsid w:val="008248B0"/>
    <w:rsid w:val="0082580A"/>
    <w:rsid w:val="00825B35"/>
    <w:rsid w:val="00825DF6"/>
    <w:rsid w:val="00826370"/>
    <w:rsid w:val="00826543"/>
    <w:rsid w:val="008266A5"/>
    <w:rsid w:val="0082724F"/>
    <w:rsid w:val="0082770F"/>
    <w:rsid w:val="00830350"/>
    <w:rsid w:val="00830D25"/>
    <w:rsid w:val="00831FCE"/>
    <w:rsid w:val="00832757"/>
    <w:rsid w:val="00832837"/>
    <w:rsid w:val="0083284E"/>
    <w:rsid w:val="008337AE"/>
    <w:rsid w:val="008337F1"/>
    <w:rsid w:val="0083440A"/>
    <w:rsid w:val="00834A45"/>
    <w:rsid w:val="00834F38"/>
    <w:rsid w:val="00835313"/>
    <w:rsid w:val="008359BD"/>
    <w:rsid w:val="00835B38"/>
    <w:rsid w:val="00835F1C"/>
    <w:rsid w:val="00835FB5"/>
    <w:rsid w:val="0083606B"/>
    <w:rsid w:val="008371DB"/>
    <w:rsid w:val="008372D8"/>
    <w:rsid w:val="00837F5E"/>
    <w:rsid w:val="00840292"/>
    <w:rsid w:val="008402F8"/>
    <w:rsid w:val="00840BD0"/>
    <w:rsid w:val="008412F3"/>
    <w:rsid w:val="00842315"/>
    <w:rsid w:val="00842C9C"/>
    <w:rsid w:val="00842E5C"/>
    <w:rsid w:val="008435A2"/>
    <w:rsid w:val="00843D24"/>
    <w:rsid w:val="0084402E"/>
    <w:rsid w:val="0084428A"/>
    <w:rsid w:val="008445D0"/>
    <w:rsid w:val="00844C47"/>
    <w:rsid w:val="0084575E"/>
    <w:rsid w:val="0084671E"/>
    <w:rsid w:val="00846D03"/>
    <w:rsid w:val="008473BE"/>
    <w:rsid w:val="00847AD3"/>
    <w:rsid w:val="00847D5D"/>
    <w:rsid w:val="00850125"/>
    <w:rsid w:val="008504FF"/>
    <w:rsid w:val="008505DA"/>
    <w:rsid w:val="00850D13"/>
    <w:rsid w:val="00851134"/>
    <w:rsid w:val="00851622"/>
    <w:rsid w:val="00851F1E"/>
    <w:rsid w:val="00852509"/>
    <w:rsid w:val="0085290B"/>
    <w:rsid w:val="00852B4C"/>
    <w:rsid w:val="008539B1"/>
    <w:rsid w:val="008540AE"/>
    <w:rsid w:val="008543E7"/>
    <w:rsid w:val="0085507A"/>
    <w:rsid w:val="00855CDE"/>
    <w:rsid w:val="00856329"/>
    <w:rsid w:val="008563D4"/>
    <w:rsid w:val="008578AF"/>
    <w:rsid w:val="00857966"/>
    <w:rsid w:val="00860C94"/>
    <w:rsid w:val="008618F1"/>
    <w:rsid w:val="0086293F"/>
    <w:rsid w:val="008631A8"/>
    <w:rsid w:val="00863248"/>
    <w:rsid w:val="008637F9"/>
    <w:rsid w:val="00864348"/>
    <w:rsid w:val="00864392"/>
    <w:rsid w:val="008647E6"/>
    <w:rsid w:val="00865232"/>
    <w:rsid w:val="00865322"/>
    <w:rsid w:val="0086554E"/>
    <w:rsid w:val="00866238"/>
    <w:rsid w:val="008662E2"/>
    <w:rsid w:val="0086631C"/>
    <w:rsid w:val="00866C76"/>
    <w:rsid w:val="00867B67"/>
    <w:rsid w:val="00867C1E"/>
    <w:rsid w:val="00870D77"/>
    <w:rsid w:val="0087109F"/>
    <w:rsid w:val="00871F42"/>
    <w:rsid w:val="008721BB"/>
    <w:rsid w:val="0087242E"/>
    <w:rsid w:val="00872BD2"/>
    <w:rsid w:val="008750C8"/>
    <w:rsid w:val="00875729"/>
    <w:rsid w:val="008761FB"/>
    <w:rsid w:val="00876AA1"/>
    <w:rsid w:val="0087765D"/>
    <w:rsid w:val="0087787F"/>
    <w:rsid w:val="0087798B"/>
    <w:rsid w:val="00880D05"/>
    <w:rsid w:val="00880E13"/>
    <w:rsid w:val="0088115D"/>
    <w:rsid w:val="008817C4"/>
    <w:rsid w:val="00881E7C"/>
    <w:rsid w:val="00881EC2"/>
    <w:rsid w:val="00882217"/>
    <w:rsid w:val="00882474"/>
    <w:rsid w:val="008825C7"/>
    <w:rsid w:val="00882DD3"/>
    <w:rsid w:val="0088378A"/>
    <w:rsid w:val="008837C9"/>
    <w:rsid w:val="00884723"/>
    <w:rsid w:val="0088482F"/>
    <w:rsid w:val="00885468"/>
    <w:rsid w:val="00885585"/>
    <w:rsid w:val="008855C9"/>
    <w:rsid w:val="00885A18"/>
    <w:rsid w:val="00886173"/>
    <w:rsid w:val="008862AA"/>
    <w:rsid w:val="008902C8"/>
    <w:rsid w:val="00890774"/>
    <w:rsid w:val="00890CF6"/>
    <w:rsid w:val="00890DEE"/>
    <w:rsid w:val="00891271"/>
    <w:rsid w:val="0089141B"/>
    <w:rsid w:val="0089221A"/>
    <w:rsid w:val="00893367"/>
    <w:rsid w:val="00894B15"/>
    <w:rsid w:val="00895436"/>
    <w:rsid w:val="008958E8"/>
    <w:rsid w:val="00895A08"/>
    <w:rsid w:val="00895F54"/>
    <w:rsid w:val="00896400"/>
    <w:rsid w:val="008964C6"/>
    <w:rsid w:val="00896AEB"/>
    <w:rsid w:val="00896D87"/>
    <w:rsid w:val="00897A06"/>
    <w:rsid w:val="008A12D6"/>
    <w:rsid w:val="008A1401"/>
    <w:rsid w:val="008A24C3"/>
    <w:rsid w:val="008A26CB"/>
    <w:rsid w:val="008A2B87"/>
    <w:rsid w:val="008A4161"/>
    <w:rsid w:val="008A4257"/>
    <w:rsid w:val="008A5538"/>
    <w:rsid w:val="008A5980"/>
    <w:rsid w:val="008A6863"/>
    <w:rsid w:val="008A6C9F"/>
    <w:rsid w:val="008A6D0D"/>
    <w:rsid w:val="008A6F6D"/>
    <w:rsid w:val="008A74DA"/>
    <w:rsid w:val="008A7802"/>
    <w:rsid w:val="008A7E8D"/>
    <w:rsid w:val="008B009A"/>
    <w:rsid w:val="008B06D8"/>
    <w:rsid w:val="008B1022"/>
    <w:rsid w:val="008B1456"/>
    <w:rsid w:val="008B35E6"/>
    <w:rsid w:val="008B3AA8"/>
    <w:rsid w:val="008B4145"/>
    <w:rsid w:val="008B4F52"/>
    <w:rsid w:val="008B5226"/>
    <w:rsid w:val="008B6169"/>
    <w:rsid w:val="008B6573"/>
    <w:rsid w:val="008B666F"/>
    <w:rsid w:val="008B70D3"/>
    <w:rsid w:val="008B7958"/>
    <w:rsid w:val="008B7E4F"/>
    <w:rsid w:val="008C17A6"/>
    <w:rsid w:val="008C2072"/>
    <w:rsid w:val="008C31D8"/>
    <w:rsid w:val="008C3440"/>
    <w:rsid w:val="008C37D3"/>
    <w:rsid w:val="008C384E"/>
    <w:rsid w:val="008C3C7E"/>
    <w:rsid w:val="008C40EC"/>
    <w:rsid w:val="008C4911"/>
    <w:rsid w:val="008C55D0"/>
    <w:rsid w:val="008C64F9"/>
    <w:rsid w:val="008D039C"/>
    <w:rsid w:val="008D078A"/>
    <w:rsid w:val="008D0AD6"/>
    <w:rsid w:val="008D10A1"/>
    <w:rsid w:val="008D29AE"/>
    <w:rsid w:val="008D2AB8"/>
    <w:rsid w:val="008D3ACF"/>
    <w:rsid w:val="008D3E7E"/>
    <w:rsid w:val="008D431B"/>
    <w:rsid w:val="008D547B"/>
    <w:rsid w:val="008D5B6F"/>
    <w:rsid w:val="008D6538"/>
    <w:rsid w:val="008D6E59"/>
    <w:rsid w:val="008D6F9C"/>
    <w:rsid w:val="008D70A9"/>
    <w:rsid w:val="008D716E"/>
    <w:rsid w:val="008D744F"/>
    <w:rsid w:val="008E084C"/>
    <w:rsid w:val="008E0C08"/>
    <w:rsid w:val="008E0C7C"/>
    <w:rsid w:val="008E210F"/>
    <w:rsid w:val="008E318F"/>
    <w:rsid w:val="008E5B7D"/>
    <w:rsid w:val="008E652D"/>
    <w:rsid w:val="008E6EE4"/>
    <w:rsid w:val="008E7296"/>
    <w:rsid w:val="008E7A6B"/>
    <w:rsid w:val="008E7F61"/>
    <w:rsid w:val="008F197B"/>
    <w:rsid w:val="008F1BB0"/>
    <w:rsid w:val="008F22F2"/>
    <w:rsid w:val="008F41CB"/>
    <w:rsid w:val="008F47AC"/>
    <w:rsid w:val="008F50F6"/>
    <w:rsid w:val="008F55E2"/>
    <w:rsid w:val="008F5720"/>
    <w:rsid w:val="008F5C30"/>
    <w:rsid w:val="008F5DE4"/>
    <w:rsid w:val="008F6023"/>
    <w:rsid w:val="008F63CE"/>
    <w:rsid w:val="008F67BF"/>
    <w:rsid w:val="008F7096"/>
    <w:rsid w:val="008F7864"/>
    <w:rsid w:val="008F7C13"/>
    <w:rsid w:val="008F7D3E"/>
    <w:rsid w:val="00900234"/>
    <w:rsid w:val="00900A66"/>
    <w:rsid w:val="00901404"/>
    <w:rsid w:val="009018CF"/>
    <w:rsid w:val="00901AA3"/>
    <w:rsid w:val="0090267A"/>
    <w:rsid w:val="00903030"/>
    <w:rsid w:val="00903045"/>
    <w:rsid w:val="00903E35"/>
    <w:rsid w:val="00904854"/>
    <w:rsid w:val="00905554"/>
    <w:rsid w:val="00905E07"/>
    <w:rsid w:val="00906084"/>
    <w:rsid w:val="00906087"/>
    <w:rsid w:val="00906E39"/>
    <w:rsid w:val="00907050"/>
    <w:rsid w:val="00910450"/>
    <w:rsid w:val="0091068C"/>
    <w:rsid w:val="0091187A"/>
    <w:rsid w:val="0091325B"/>
    <w:rsid w:val="00915074"/>
    <w:rsid w:val="009167DE"/>
    <w:rsid w:val="0091687C"/>
    <w:rsid w:val="00916D01"/>
    <w:rsid w:val="0091707B"/>
    <w:rsid w:val="00917E0B"/>
    <w:rsid w:val="00920C14"/>
    <w:rsid w:val="00921261"/>
    <w:rsid w:val="00921D39"/>
    <w:rsid w:val="009229CC"/>
    <w:rsid w:val="00922C6B"/>
    <w:rsid w:val="009242BF"/>
    <w:rsid w:val="009249F4"/>
    <w:rsid w:val="00924C4C"/>
    <w:rsid w:val="0092640B"/>
    <w:rsid w:val="00926685"/>
    <w:rsid w:val="0092777C"/>
    <w:rsid w:val="00927D3A"/>
    <w:rsid w:val="00930732"/>
    <w:rsid w:val="00930783"/>
    <w:rsid w:val="009309E2"/>
    <w:rsid w:val="00931143"/>
    <w:rsid w:val="00931FFC"/>
    <w:rsid w:val="009321A0"/>
    <w:rsid w:val="00932B62"/>
    <w:rsid w:val="009336E4"/>
    <w:rsid w:val="00933E10"/>
    <w:rsid w:val="00933E70"/>
    <w:rsid w:val="00933FD8"/>
    <w:rsid w:val="00935135"/>
    <w:rsid w:val="009361D3"/>
    <w:rsid w:val="009365BA"/>
    <w:rsid w:val="00937BF9"/>
    <w:rsid w:val="00937E43"/>
    <w:rsid w:val="0094069A"/>
    <w:rsid w:val="00940A29"/>
    <w:rsid w:val="00941DC8"/>
    <w:rsid w:val="009428DB"/>
    <w:rsid w:val="0094387C"/>
    <w:rsid w:val="00943A46"/>
    <w:rsid w:val="009470F2"/>
    <w:rsid w:val="009502E1"/>
    <w:rsid w:val="00950609"/>
    <w:rsid w:val="009511D5"/>
    <w:rsid w:val="00951667"/>
    <w:rsid w:val="009519A6"/>
    <w:rsid w:val="009519EC"/>
    <w:rsid w:val="00951B11"/>
    <w:rsid w:val="009521FD"/>
    <w:rsid w:val="009522D9"/>
    <w:rsid w:val="0095241B"/>
    <w:rsid w:val="00953433"/>
    <w:rsid w:val="00953EA5"/>
    <w:rsid w:val="0095498F"/>
    <w:rsid w:val="00954A7E"/>
    <w:rsid w:val="00954ED3"/>
    <w:rsid w:val="00955A43"/>
    <w:rsid w:val="00955F93"/>
    <w:rsid w:val="009561B7"/>
    <w:rsid w:val="009565C8"/>
    <w:rsid w:val="00956941"/>
    <w:rsid w:val="00957153"/>
    <w:rsid w:val="0095732B"/>
    <w:rsid w:val="00957E56"/>
    <w:rsid w:val="009606F8"/>
    <w:rsid w:val="009610A3"/>
    <w:rsid w:val="00961549"/>
    <w:rsid w:val="009615D3"/>
    <w:rsid w:val="00961ABC"/>
    <w:rsid w:val="00961FD3"/>
    <w:rsid w:val="00962098"/>
    <w:rsid w:val="00962818"/>
    <w:rsid w:val="0096369A"/>
    <w:rsid w:val="00963942"/>
    <w:rsid w:val="00963F86"/>
    <w:rsid w:val="0096447F"/>
    <w:rsid w:val="009652E5"/>
    <w:rsid w:val="00966061"/>
    <w:rsid w:val="009663B3"/>
    <w:rsid w:val="009663FA"/>
    <w:rsid w:val="00966F33"/>
    <w:rsid w:val="0096735D"/>
    <w:rsid w:val="00967EB4"/>
    <w:rsid w:val="009700C5"/>
    <w:rsid w:val="00970A92"/>
    <w:rsid w:val="00970CF2"/>
    <w:rsid w:val="009711AD"/>
    <w:rsid w:val="009718E6"/>
    <w:rsid w:val="00971B4C"/>
    <w:rsid w:val="009725BD"/>
    <w:rsid w:val="009731EF"/>
    <w:rsid w:val="009736FB"/>
    <w:rsid w:val="00973F36"/>
    <w:rsid w:val="009745BF"/>
    <w:rsid w:val="00974619"/>
    <w:rsid w:val="00974C94"/>
    <w:rsid w:val="00974FEF"/>
    <w:rsid w:val="009751FC"/>
    <w:rsid w:val="0097536A"/>
    <w:rsid w:val="009776A2"/>
    <w:rsid w:val="00983EDA"/>
    <w:rsid w:val="009842E4"/>
    <w:rsid w:val="009848A1"/>
    <w:rsid w:val="00984D5B"/>
    <w:rsid w:val="00985F93"/>
    <w:rsid w:val="009915D8"/>
    <w:rsid w:val="00991710"/>
    <w:rsid w:val="009918C6"/>
    <w:rsid w:val="0099194E"/>
    <w:rsid w:val="00992780"/>
    <w:rsid w:val="009937F2"/>
    <w:rsid w:val="00993D8A"/>
    <w:rsid w:val="0099423A"/>
    <w:rsid w:val="009948E3"/>
    <w:rsid w:val="00995AE8"/>
    <w:rsid w:val="009967CE"/>
    <w:rsid w:val="00996C35"/>
    <w:rsid w:val="0099716F"/>
    <w:rsid w:val="00997C64"/>
    <w:rsid w:val="009A0CD3"/>
    <w:rsid w:val="009A1324"/>
    <w:rsid w:val="009A244B"/>
    <w:rsid w:val="009A2FC4"/>
    <w:rsid w:val="009A3595"/>
    <w:rsid w:val="009A3E63"/>
    <w:rsid w:val="009A4307"/>
    <w:rsid w:val="009A4587"/>
    <w:rsid w:val="009A4F9F"/>
    <w:rsid w:val="009A521C"/>
    <w:rsid w:val="009A52A8"/>
    <w:rsid w:val="009A54CF"/>
    <w:rsid w:val="009A57E3"/>
    <w:rsid w:val="009A5FE8"/>
    <w:rsid w:val="009A605A"/>
    <w:rsid w:val="009A60F4"/>
    <w:rsid w:val="009A645F"/>
    <w:rsid w:val="009A6E88"/>
    <w:rsid w:val="009A7F20"/>
    <w:rsid w:val="009B03DF"/>
    <w:rsid w:val="009B03F0"/>
    <w:rsid w:val="009B0764"/>
    <w:rsid w:val="009B0AE1"/>
    <w:rsid w:val="009B0E25"/>
    <w:rsid w:val="009B1061"/>
    <w:rsid w:val="009B1283"/>
    <w:rsid w:val="009B17CE"/>
    <w:rsid w:val="009B186A"/>
    <w:rsid w:val="009B22AD"/>
    <w:rsid w:val="009B309F"/>
    <w:rsid w:val="009B4972"/>
    <w:rsid w:val="009B5158"/>
    <w:rsid w:val="009B5245"/>
    <w:rsid w:val="009B5E78"/>
    <w:rsid w:val="009B6ABA"/>
    <w:rsid w:val="009B775A"/>
    <w:rsid w:val="009C01CB"/>
    <w:rsid w:val="009C1F50"/>
    <w:rsid w:val="009C2E1B"/>
    <w:rsid w:val="009C4EFA"/>
    <w:rsid w:val="009C541B"/>
    <w:rsid w:val="009C567F"/>
    <w:rsid w:val="009C5AD9"/>
    <w:rsid w:val="009C5D2B"/>
    <w:rsid w:val="009C6C3C"/>
    <w:rsid w:val="009C778B"/>
    <w:rsid w:val="009C77BE"/>
    <w:rsid w:val="009C78D6"/>
    <w:rsid w:val="009C7AAB"/>
    <w:rsid w:val="009C7ADF"/>
    <w:rsid w:val="009D1849"/>
    <w:rsid w:val="009D2984"/>
    <w:rsid w:val="009D2B3F"/>
    <w:rsid w:val="009D2E5F"/>
    <w:rsid w:val="009D345B"/>
    <w:rsid w:val="009D4C52"/>
    <w:rsid w:val="009D57D9"/>
    <w:rsid w:val="009D7559"/>
    <w:rsid w:val="009D7CA0"/>
    <w:rsid w:val="009E13A9"/>
    <w:rsid w:val="009E2005"/>
    <w:rsid w:val="009E2A67"/>
    <w:rsid w:val="009E2B69"/>
    <w:rsid w:val="009E362D"/>
    <w:rsid w:val="009E4E6C"/>
    <w:rsid w:val="009E5BF6"/>
    <w:rsid w:val="009E69FF"/>
    <w:rsid w:val="009E6DF5"/>
    <w:rsid w:val="009E7983"/>
    <w:rsid w:val="009E7A00"/>
    <w:rsid w:val="009E7C09"/>
    <w:rsid w:val="009F015F"/>
    <w:rsid w:val="009F09B4"/>
    <w:rsid w:val="009F0CC1"/>
    <w:rsid w:val="009F1BDE"/>
    <w:rsid w:val="009F1E44"/>
    <w:rsid w:val="009F1FE2"/>
    <w:rsid w:val="009F2963"/>
    <w:rsid w:val="009F2F45"/>
    <w:rsid w:val="009F3399"/>
    <w:rsid w:val="009F498C"/>
    <w:rsid w:val="009F4E2D"/>
    <w:rsid w:val="009F514E"/>
    <w:rsid w:val="009F5877"/>
    <w:rsid w:val="009F6041"/>
    <w:rsid w:val="009F7A37"/>
    <w:rsid w:val="009F7AFC"/>
    <w:rsid w:val="009F7C98"/>
    <w:rsid w:val="00A0256E"/>
    <w:rsid w:val="00A02A65"/>
    <w:rsid w:val="00A03398"/>
    <w:rsid w:val="00A034A5"/>
    <w:rsid w:val="00A03C3B"/>
    <w:rsid w:val="00A0495B"/>
    <w:rsid w:val="00A04E5D"/>
    <w:rsid w:val="00A04FA6"/>
    <w:rsid w:val="00A05118"/>
    <w:rsid w:val="00A05368"/>
    <w:rsid w:val="00A0538B"/>
    <w:rsid w:val="00A05B62"/>
    <w:rsid w:val="00A05DDB"/>
    <w:rsid w:val="00A06A2F"/>
    <w:rsid w:val="00A07903"/>
    <w:rsid w:val="00A10A3A"/>
    <w:rsid w:val="00A114D5"/>
    <w:rsid w:val="00A11685"/>
    <w:rsid w:val="00A11936"/>
    <w:rsid w:val="00A11BA8"/>
    <w:rsid w:val="00A11CD2"/>
    <w:rsid w:val="00A13150"/>
    <w:rsid w:val="00A146F5"/>
    <w:rsid w:val="00A14A8C"/>
    <w:rsid w:val="00A14B6B"/>
    <w:rsid w:val="00A14FAD"/>
    <w:rsid w:val="00A1638F"/>
    <w:rsid w:val="00A16487"/>
    <w:rsid w:val="00A166B8"/>
    <w:rsid w:val="00A16D77"/>
    <w:rsid w:val="00A17260"/>
    <w:rsid w:val="00A173D0"/>
    <w:rsid w:val="00A17E3C"/>
    <w:rsid w:val="00A17E92"/>
    <w:rsid w:val="00A20277"/>
    <w:rsid w:val="00A20542"/>
    <w:rsid w:val="00A2104D"/>
    <w:rsid w:val="00A21787"/>
    <w:rsid w:val="00A21E9E"/>
    <w:rsid w:val="00A220A2"/>
    <w:rsid w:val="00A221D8"/>
    <w:rsid w:val="00A22B18"/>
    <w:rsid w:val="00A23618"/>
    <w:rsid w:val="00A2444C"/>
    <w:rsid w:val="00A250EC"/>
    <w:rsid w:val="00A25825"/>
    <w:rsid w:val="00A25FA9"/>
    <w:rsid w:val="00A26326"/>
    <w:rsid w:val="00A27354"/>
    <w:rsid w:val="00A30121"/>
    <w:rsid w:val="00A30486"/>
    <w:rsid w:val="00A30596"/>
    <w:rsid w:val="00A307EC"/>
    <w:rsid w:val="00A3111D"/>
    <w:rsid w:val="00A315C6"/>
    <w:rsid w:val="00A31C6B"/>
    <w:rsid w:val="00A31EC6"/>
    <w:rsid w:val="00A323AC"/>
    <w:rsid w:val="00A32715"/>
    <w:rsid w:val="00A32B18"/>
    <w:rsid w:val="00A32F77"/>
    <w:rsid w:val="00A33816"/>
    <w:rsid w:val="00A33C60"/>
    <w:rsid w:val="00A34305"/>
    <w:rsid w:val="00A34883"/>
    <w:rsid w:val="00A34C66"/>
    <w:rsid w:val="00A35102"/>
    <w:rsid w:val="00A3587B"/>
    <w:rsid w:val="00A35C33"/>
    <w:rsid w:val="00A36A24"/>
    <w:rsid w:val="00A36E50"/>
    <w:rsid w:val="00A370CF"/>
    <w:rsid w:val="00A4006C"/>
    <w:rsid w:val="00A4017B"/>
    <w:rsid w:val="00A40702"/>
    <w:rsid w:val="00A423E5"/>
    <w:rsid w:val="00A42625"/>
    <w:rsid w:val="00A4326C"/>
    <w:rsid w:val="00A44F07"/>
    <w:rsid w:val="00A4572F"/>
    <w:rsid w:val="00A458F9"/>
    <w:rsid w:val="00A45F02"/>
    <w:rsid w:val="00A461F2"/>
    <w:rsid w:val="00A46852"/>
    <w:rsid w:val="00A47054"/>
    <w:rsid w:val="00A47BD2"/>
    <w:rsid w:val="00A47ECE"/>
    <w:rsid w:val="00A50734"/>
    <w:rsid w:val="00A50908"/>
    <w:rsid w:val="00A5176A"/>
    <w:rsid w:val="00A5254B"/>
    <w:rsid w:val="00A5281F"/>
    <w:rsid w:val="00A52835"/>
    <w:rsid w:val="00A529CD"/>
    <w:rsid w:val="00A53D82"/>
    <w:rsid w:val="00A542D6"/>
    <w:rsid w:val="00A547C9"/>
    <w:rsid w:val="00A54F3D"/>
    <w:rsid w:val="00A550CC"/>
    <w:rsid w:val="00A553E9"/>
    <w:rsid w:val="00A5572C"/>
    <w:rsid w:val="00A55A57"/>
    <w:rsid w:val="00A55B96"/>
    <w:rsid w:val="00A55EE1"/>
    <w:rsid w:val="00A5652C"/>
    <w:rsid w:val="00A56738"/>
    <w:rsid w:val="00A60030"/>
    <w:rsid w:val="00A60971"/>
    <w:rsid w:val="00A6199C"/>
    <w:rsid w:val="00A62345"/>
    <w:rsid w:val="00A6336B"/>
    <w:rsid w:val="00A63B17"/>
    <w:rsid w:val="00A647F1"/>
    <w:rsid w:val="00A64FD7"/>
    <w:rsid w:val="00A669F0"/>
    <w:rsid w:val="00A67245"/>
    <w:rsid w:val="00A6779B"/>
    <w:rsid w:val="00A678BF"/>
    <w:rsid w:val="00A71B25"/>
    <w:rsid w:val="00A724C5"/>
    <w:rsid w:val="00A7260B"/>
    <w:rsid w:val="00A7372A"/>
    <w:rsid w:val="00A73A77"/>
    <w:rsid w:val="00A756D6"/>
    <w:rsid w:val="00A75CC0"/>
    <w:rsid w:val="00A76F96"/>
    <w:rsid w:val="00A77740"/>
    <w:rsid w:val="00A80174"/>
    <w:rsid w:val="00A805C7"/>
    <w:rsid w:val="00A8086E"/>
    <w:rsid w:val="00A8128F"/>
    <w:rsid w:val="00A813F8"/>
    <w:rsid w:val="00A81ADC"/>
    <w:rsid w:val="00A81E02"/>
    <w:rsid w:val="00A81EAD"/>
    <w:rsid w:val="00A822C5"/>
    <w:rsid w:val="00A823DA"/>
    <w:rsid w:val="00A824A1"/>
    <w:rsid w:val="00A826F9"/>
    <w:rsid w:val="00A828CD"/>
    <w:rsid w:val="00A82BEA"/>
    <w:rsid w:val="00A83E3F"/>
    <w:rsid w:val="00A83FD6"/>
    <w:rsid w:val="00A8466A"/>
    <w:rsid w:val="00A8557D"/>
    <w:rsid w:val="00A85C38"/>
    <w:rsid w:val="00A869AC"/>
    <w:rsid w:val="00A86E59"/>
    <w:rsid w:val="00A87555"/>
    <w:rsid w:val="00A87AF2"/>
    <w:rsid w:val="00A903B3"/>
    <w:rsid w:val="00A90A08"/>
    <w:rsid w:val="00A912EF"/>
    <w:rsid w:val="00A92234"/>
    <w:rsid w:val="00A92C83"/>
    <w:rsid w:val="00A93F07"/>
    <w:rsid w:val="00A94455"/>
    <w:rsid w:val="00A94840"/>
    <w:rsid w:val="00A94A17"/>
    <w:rsid w:val="00A94A87"/>
    <w:rsid w:val="00A957AC"/>
    <w:rsid w:val="00A95F7A"/>
    <w:rsid w:val="00A96075"/>
    <w:rsid w:val="00A96DA0"/>
    <w:rsid w:val="00AA0BA0"/>
    <w:rsid w:val="00AA12B2"/>
    <w:rsid w:val="00AA19DE"/>
    <w:rsid w:val="00AA4833"/>
    <w:rsid w:val="00AA5970"/>
    <w:rsid w:val="00AA6DDE"/>
    <w:rsid w:val="00AA7D6E"/>
    <w:rsid w:val="00AA7FEC"/>
    <w:rsid w:val="00AB0AE0"/>
    <w:rsid w:val="00AB0B1C"/>
    <w:rsid w:val="00AB0FD6"/>
    <w:rsid w:val="00AB1276"/>
    <w:rsid w:val="00AB1594"/>
    <w:rsid w:val="00AB1726"/>
    <w:rsid w:val="00AB1D8E"/>
    <w:rsid w:val="00AB3A0D"/>
    <w:rsid w:val="00AB41F3"/>
    <w:rsid w:val="00AB5186"/>
    <w:rsid w:val="00AB5725"/>
    <w:rsid w:val="00AB5943"/>
    <w:rsid w:val="00AB5A82"/>
    <w:rsid w:val="00AB5B91"/>
    <w:rsid w:val="00AB5D64"/>
    <w:rsid w:val="00AB7551"/>
    <w:rsid w:val="00AB76AC"/>
    <w:rsid w:val="00AB79B2"/>
    <w:rsid w:val="00AB7D14"/>
    <w:rsid w:val="00AC06B4"/>
    <w:rsid w:val="00AC08C9"/>
    <w:rsid w:val="00AC2090"/>
    <w:rsid w:val="00AC3683"/>
    <w:rsid w:val="00AC37A0"/>
    <w:rsid w:val="00AC4BF1"/>
    <w:rsid w:val="00AC537B"/>
    <w:rsid w:val="00AC628D"/>
    <w:rsid w:val="00AC6C48"/>
    <w:rsid w:val="00AC73A2"/>
    <w:rsid w:val="00AD00A7"/>
    <w:rsid w:val="00AD095D"/>
    <w:rsid w:val="00AD12F1"/>
    <w:rsid w:val="00AD2035"/>
    <w:rsid w:val="00AD20B2"/>
    <w:rsid w:val="00AD2CC4"/>
    <w:rsid w:val="00AD2DC0"/>
    <w:rsid w:val="00AD304F"/>
    <w:rsid w:val="00AD4EAE"/>
    <w:rsid w:val="00AD5638"/>
    <w:rsid w:val="00AD5724"/>
    <w:rsid w:val="00AD5B17"/>
    <w:rsid w:val="00AD6824"/>
    <w:rsid w:val="00AD6978"/>
    <w:rsid w:val="00AD734B"/>
    <w:rsid w:val="00AD760F"/>
    <w:rsid w:val="00AE0586"/>
    <w:rsid w:val="00AE065B"/>
    <w:rsid w:val="00AE0EE9"/>
    <w:rsid w:val="00AE14CE"/>
    <w:rsid w:val="00AE244C"/>
    <w:rsid w:val="00AE27A7"/>
    <w:rsid w:val="00AE3311"/>
    <w:rsid w:val="00AE38CA"/>
    <w:rsid w:val="00AE5060"/>
    <w:rsid w:val="00AE51B2"/>
    <w:rsid w:val="00AE64C3"/>
    <w:rsid w:val="00AE6DD8"/>
    <w:rsid w:val="00AE712F"/>
    <w:rsid w:val="00AE75B0"/>
    <w:rsid w:val="00AE7F04"/>
    <w:rsid w:val="00AF0D9F"/>
    <w:rsid w:val="00AF1900"/>
    <w:rsid w:val="00AF1A29"/>
    <w:rsid w:val="00AF21A7"/>
    <w:rsid w:val="00AF221C"/>
    <w:rsid w:val="00AF343C"/>
    <w:rsid w:val="00AF37D5"/>
    <w:rsid w:val="00AF3E25"/>
    <w:rsid w:val="00AF4163"/>
    <w:rsid w:val="00AF436B"/>
    <w:rsid w:val="00AF4A38"/>
    <w:rsid w:val="00AF5132"/>
    <w:rsid w:val="00AF5BC3"/>
    <w:rsid w:val="00AF7605"/>
    <w:rsid w:val="00AF79B2"/>
    <w:rsid w:val="00AF7B4F"/>
    <w:rsid w:val="00B001A3"/>
    <w:rsid w:val="00B005B3"/>
    <w:rsid w:val="00B0210C"/>
    <w:rsid w:val="00B022FD"/>
    <w:rsid w:val="00B0273F"/>
    <w:rsid w:val="00B0353E"/>
    <w:rsid w:val="00B03622"/>
    <w:rsid w:val="00B04F19"/>
    <w:rsid w:val="00B0585C"/>
    <w:rsid w:val="00B05D05"/>
    <w:rsid w:val="00B06480"/>
    <w:rsid w:val="00B0667B"/>
    <w:rsid w:val="00B102A5"/>
    <w:rsid w:val="00B10D3A"/>
    <w:rsid w:val="00B113EF"/>
    <w:rsid w:val="00B1155F"/>
    <w:rsid w:val="00B119B5"/>
    <w:rsid w:val="00B1345A"/>
    <w:rsid w:val="00B16298"/>
    <w:rsid w:val="00B162EF"/>
    <w:rsid w:val="00B17C1A"/>
    <w:rsid w:val="00B20138"/>
    <w:rsid w:val="00B207A0"/>
    <w:rsid w:val="00B20CEC"/>
    <w:rsid w:val="00B20FA9"/>
    <w:rsid w:val="00B211DC"/>
    <w:rsid w:val="00B220C7"/>
    <w:rsid w:val="00B22CAF"/>
    <w:rsid w:val="00B23B8E"/>
    <w:rsid w:val="00B23FBF"/>
    <w:rsid w:val="00B25A8B"/>
    <w:rsid w:val="00B26CA6"/>
    <w:rsid w:val="00B26CAB"/>
    <w:rsid w:val="00B26F41"/>
    <w:rsid w:val="00B32374"/>
    <w:rsid w:val="00B329C5"/>
    <w:rsid w:val="00B32B21"/>
    <w:rsid w:val="00B33608"/>
    <w:rsid w:val="00B3483F"/>
    <w:rsid w:val="00B3487F"/>
    <w:rsid w:val="00B348FF"/>
    <w:rsid w:val="00B353C9"/>
    <w:rsid w:val="00B3691B"/>
    <w:rsid w:val="00B378CD"/>
    <w:rsid w:val="00B37ED6"/>
    <w:rsid w:val="00B40516"/>
    <w:rsid w:val="00B40943"/>
    <w:rsid w:val="00B40ADC"/>
    <w:rsid w:val="00B40E5D"/>
    <w:rsid w:val="00B4287C"/>
    <w:rsid w:val="00B431A9"/>
    <w:rsid w:val="00B431F9"/>
    <w:rsid w:val="00B43622"/>
    <w:rsid w:val="00B43D48"/>
    <w:rsid w:val="00B43EF8"/>
    <w:rsid w:val="00B44705"/>
    <w:rsid w:val="00B44971"/>
    <w:rsid w:val="00B44D69"/>
    <w:rsid w:val="00B45849"/>
    <w:rsid w:val="00B45BCA"/>
    <w:rsid w:val="00B46073"/>
    <w:rsid w:val="00B4645A"/>
    <w:rsid w:val="00B46748"/>
    <w:rsid w:val="00B46C4A"/>
    <w:rsid w:val="00B47172"/>
    <w:rsid w:val="00B47420"/>
    <w:rsid w:val="00B47772"/>
    <w:rsid w:val="00B5003A"/>
    <w:rsid w:val="00B502D5"/>
    <w:rsid w:val="00B503FD"/>
    <w:rsid w:val="00B50850"/>
    <w:rsid w:val="00B51560"/>
    <w:rsid w:val="00B51FE8"/>
    <w:rsid w:val="00B534E1"/>
    <w:rsid w:val="00B53533"/>
    <w:rsid w:val="00B53F41"/>
    <w:rsid w:val="00B544BA"/>
    <w:rsid w:val="00B54FE8"/>
    <w:rsid w:val="00B55250"/>
    <w:rsid w:val="00B55FC5"/>
    <w:rsid w:val="00B57704"/>
    <w:rsid w:val="00B57EBD"/>
    <w:rsid w:val="00B57F71"/>
    <w:rsid w:val="00B600B5"/>
    <w:rsid w:val="00B602F2"/>
    <w:rsid w:val="00B61207"/>
    <w:rsid w:val="00B615A4"/>
    <w:rsid w:val="00B62A90"/>
    <w:rsid w:val="00B63628"/>
    <w:rsid w:val="00B6375A"/>
    <w:rsid w:val="00B64C2C"/>
    <w:rsid w:val="00B64DBF"/>
    <w:rsid w:val="00B64E66"/>
    <w:rsid w:val="00B64F82"/>
    <w:rsid w:val="00B6538E"/>
    <w:rsid w:val="00B66376"/>
    <w:rsid w:val="00B669BB"/>
    <w:rsid w:val="00B66AE8"/>
    <w:rsid w:val="00B70A16"/>
    <w:rsid w:val="00B70F6A"/>
    <w:rsid w:val="00B71915"/>
    <w:rsid w:val="00B71BA4"/>
    <w:rsid w:val="00B7225B"/>
    <w:rsid w:val="00B723AA"/>
    <w:rsid w:val="00B72A5C"/>
    <w:rsid w:val="00B72C0F"/>
    <w:rsid w:val="00B72CEE"/>
    <w:rsid w:val="00B74015"/>
    <w:rsid w:val="00B74294"/>
    <w:rsid w:val="00B74C23"/>
    <w:rsid w:val="00B74D84"/>
    <w:rsid w:val="00B7656E"/>
    <w:rsid w:val="00B800A3"/>
    <w:rsid w:val="00B80148"/>
    <w:rsid w:val="00B811BE"/>
    <w:rsid w:val="00B8194F"/>
    <w:rsid w:val="00B81B3A"/>
    <w:rsid w:val="00B81EBA"/>
    <w:rsid w:val="00B820A2"/>
    <w:rsid w:val="00B82215"/>
    <w:rsid w:val="00B8248C"/>
    <w:rsid w:val="00B830E1"/>
    <w:rsid w:val="00B83E9D"/>
    <w:rsid w:val="00B8430B"/>
    <w:rsid w:val="00B849ED"/>
    <w:rsid w:val="00B85377"/>
    <w:rsid w:val="00B853BF"/>
    <w:rsid w:val="00B86967"/>
    <w:rsid w:val="00B86A1A"/>
    <w:rsid w:val="00B87276"/>
    <w:rsid w:val="00B8794D"/>
    <w:rsid w:val="00B87A48"/>
    <w:rsid w:val="00B87DC9"/>
    <w:rsid w:val="00B9000D"/>
    <w:rsid w:val="00B9017B"/>
    <w:rsid w:val="00B9090B"/>
    <w:rsid w:val="00B90B61"/>
    <w:rsid w:val="00B910B2"/>
    <w:rsid w:val="00B91D04"/>
    <w:rsid w:val="00B9346E"/>
    <w:rsid w:val="00B94575"/>
    <w:rsid w:val="00B94A3D"/>
    <w:rsid w:val="00B95413"/>
    <w:rsid w:val="00B954CC"/>
    <w:rsid w:val="00B954F1"/>
    <w:rsid w:val="00B9569C"/>
    <w:rsid w:val="00B95CB6"/>
    <w:rsid w:val="00B961F8"/>
    <w:rsid w:val="00B963E1"/>
    <w:rsid w:val="00B9677F"/>
    <w:rsid w:val="00B96A9C"/>
    <w:rsid w:val="00B97583"/>
    <w:rsid w:val="00B97CCE"/>
    <w:rsid w:val="00BA01B0"/>
    <w:rsid w:val="00BA0334"/>
    <w:rsid w:val="00BA03FD"/>
    <w:rsid w:val="00BA16F0"/>
    <w:rsid w:val="00BA1B41"/>
    <w:rsid w:val="00BA2109"/>
    <w:rsid w:val="00BA2CB2"/>
    <w:rsid w:val="00BA2F05"/>
    <w:rsid w:val="00BA2F85"/>
    <w:rsid w:val="00BA30DA"/>
    <w:rsid w:val="00BA32AC"/>
    <w:rsid w:val="00BA3399"/>
    <w:rsid w:val="00BA368A"/>
    <w:rsid w:val="00BA3E22"/>
    <w:rsid w:val="00BA41F8"/>
    <w:rsid w:val="00BA43EB"/>
    <w:rsid w:val="00BA50AF"/>
    <w:rsid w:val="00BA5F69"/>
    <w:rsid w:val="00BA66B9"/>
    <w:rsid w:val="00BA670A"/>
    <w:rsid w:val="00BA6BB8"/>
    <w:rsid w:val="00BB02B0"/>
    <w:rsid w:val="00BB13F7"/>
    <w:rsid w:val="00BB1414"/>
    <w:rsid w:val="00BB195C"/>
    <w:rsid w:val="00BB1B29"/>
    <w:rsid w:val="00BB2808"/>
    <w:rsid w:val="00BB2CF1"/>
    <w:rsid w:val="00BB3227"/>
    <w:rsid w:val="00BB34A9"/>
    <w:rsid w:val="00BB3A96"/>
    <w:rsid w:val="00BB3B94"/>
    <w:rsid w:val="00BB411C"/>
    <w:rsid w:val="00BB4ADF"/>
    <w:rsid w:val="00BB5501"/>
    <w:rsid w:val="00BB6337"/>
    <w:rsid w:val="00BB6723"/>
    <w:rsid w:val="00BB6E88"/>
    <w:rsid w:val="00BB762B"/>
    <w:rsid w:val="00BB7B08"/>
    <w:rsid w:val="00BC0520"/>
    <w:rsid w:val="00BC068B"/>
    <w:rsid w:val="00BC0E24"/>
    <w:rsid w:val="00BC1987"/>
    <w:rsid w:val="00BC1C7C"/>
    <w:rsid w:val="00BC1E92"/>
    <w:rsid w:val="00BC20C8"/>
    <w:rsid w:val="00BC29F7"/>
    <w:rsid w:val="00BC3D5B"/>
    <w:rsid w:val="00BC40E5"/>
    <w:rsid w:val="00BC477C"/>
    <w:rsid w:val="00BC5B7C"/>
    <w:rsid w:val="00BC5E1F"/>
    <w:rsid w:val="00BC6377"/>
    <w:rsid w:val="00BC6D8C"/>
    <w:rsid w:val="00BD004E"/>
    <w:rsid w:val="00BD1D4A"/>
    <w:rsid w:val="00BD1F5C"/>
    <w:rsid w:val="00BD2194"/>
    <w:rsid w:val="00BD2315"/>
    <w:rsid w:val="00BD2B43"/>
    <w:rsid w:val="00BD3DE5"/>
    <w:rsid w:val="00BD3ECD"/>
    <w:rsid w:val="00BD46AD"/>
    <w:rsid w:val="00BD4702"/>
    <w:rsid w:val="00BD51CB"/>
    <w:rsid w:val="00BD5454"/>
    <w:rsid w:val="00BD5964"/>
    <w:rsid w:val="00BD68B2"/>
    <w:rsid w:val="00BD6A3E"/>
    <w:rsid w:val="00BD6C45"/>
    <w:rsid w:val="00BD6D0F"/>
    <w:rsid w:val="00BD7158"/>
    <w:rsid w:val="00BD76CB"/>
    <w:rsid w:val="00BE1373"/>
    <w:rsid w:val="00BE163F"/>
    <w:rsid w:val="00BE17DC"/>
    <w:rsid w:val="00BE1E28"/>
    <w:rsid w:val="00BE201F"/>
    <w:rsid w:val="00BE2E74"/>
    <w:rsid w:val="00BE3A98"/>
    <w:rsid w:val="00BE3DC5"/>
    <w:rsid w:val="00BE44BB"/>
    <w:rsid w:val="00BE47E3"/>
    <w:rsid w:val="00BE642D"/>
    <w:rsid w:val="00BE67D4"/>
    <w:rsid w:val="00BE7C05"/>
    <w:rsid w:val="00BE7C16"/>
    <w:rsid w:val="00BF0A9F"/>
    <w:rsid w:val="00BF0FBB"/>
    <w:rsid w:val="00BF120C"/>
    <w:rsid w:val="00BF1C2A"/>
    <w:rsid w:val="00BF3244"/>
    <w:rsid w:val="00BF348D"/>
    <w:rsid w:val="00BF583C"/>
    <w:rsid w:val="00BF5A91"/>
    <w:rsid w:val="00BF5C6F"/>
    <w:rsid w:val="00BF5D8C"/>
    <w:rsid w:val="00BF611D"/>
    <w:rsid w:val="00BF6979"/>
    <w:rsid w:val="00BF76D6"/>
    <w:rsid w:val="00BF7DDB"/>
    <w:rsid w:val="00C00549"/>
    <w:rsid w:val="00C00DDF"/>
    <w:rsid w:val="00C00EBB"/>
    <w:rsid w:val="00C01B09"/>
    <w:rsid w:val="00C01DBB"/>
    <w:rsid w:val="00C01DD9"/>
    <w:rsid w:val="00C03468"/>
    <w:rsid w:val="00C03616"/>
    <w:rsid w:val="00C03B21"/>
    <w:rsid w:val="00C03B28"/>
    <w:rsid w:val="00C03C4E"/>
    <w:rsid w:val="00C04243"/>
    <w:rsid w:val="00C04B87"/>
    <w:rsid w:val="00C0551C"/>
    <w:rsid w:val="00C06518"/>
    <w:rsid w:val="00C10642"/>
    <w:rsid w:val="00C106BE"/>
    <w:rsid w:val="00C10B72"/>
    <w:rsid w:val="00C12465"/>
    <w:rsid w:val="00C13D4F"/>
    <w:rsid w:val="00C13DF7"/>
    <w:rsid w:val="00C1403C"/>
    <w:rsid w:val="00C14A5A"/>
    <w:rsid w:val="00C158D9"/>
    <w:rsid w:val="00C15A12"/>
    <w:rsid w:val="00C15BC8"/>
    <w:rsid w:val="00C160C9"/>
    <w:rsid w:val="00C161C5"/>
    <w:rsid w:val="00C166AC"/>
    <w:rsid w:val="00C16954"/>
    <w:rsid w:val="00C16CB5"/>
    <w:rsid w:val="00C16CD6"/>
    <w:rsid w:val="00C16E65"/>
    <w:rsid w:val="00C16F7F"/>
    <w:rsid w:val="00C17498"/>
    <w:rsid w:val="00C20441"/>
    <w:rsid w:val="00C20C69"/>
    <w:rsid w:val="00C2250B"/>
    <w:rsid w:val="00C24A27"/>
    <w:rsid w:val="00C24B90"/>
    <w:rsid w:val="00C24E3A"/>
    <w:rsid w:val="00C26FE1"/>
    <w:rsid w:val="00C2771D"/>
    <w:rsid w:val="00C30B7C"/>
    <w:rsid w:val="00C30B90"/>
    <w:rsid w:val="00C31DF3"/>
    <w:rsid w:val="00C322D7"/>
    <w:rsid w:val="00C32732"/>
    <w:rsid w:val="00C33064"/>
    <w:rsid w:val="00C336FC"/>
    <w:rsid w:val="00C34041"/>
    <w:rsid w:val="00C358E8"/>
    <w:rsid w:val="00C35A12"/>
    <w:rsid w:val="00C3611F"/>
    <w:rsid w:val="00C361B6"/>
    <w:rsid w:val="00C36C32"/>
    <w:rsid w:val="00C376B9"/>
    <w:rsid w:val="00C40A5C"/>
    <w:rsid w:val="00C40DE7"/>
    <w:rsid w:val="00C40FFB"/>
    <w:rsid w:val="00C41154"/>
    <w:rsid w:val="00C41716"/>
    <w:rsid w:val="00C4324E"/>
    <w:rsid w:val="00C4563A"/>
    <w:rsid w:val="00C45D59"/>
    <w:rsid w:val="00C4699B"/>
    <w:rsid w:val="00C46A91"/>
    <w:rsid w:val="00C47C93"/>
    <w:rsid w:val="00C5011D"/>
    <w:rsid w:val="00C50C7D"/>
    <w:rsid w:val="00C50CAB"/>
    <w:rsid w:val="00C51235"/>
    <w:rsid w:val="00C519B9"/>
    <w:rsid w:val="00C52C84"/>
    <w:rsid w:val="00C52D4F"/>
    <w:rsid w:val="00C53BB8"/>
    <w:rsid w:val="00C540C2"/>
    <w:rsid w:val="00C55791"/>
    <w:rsid w:val="00C56136"/>
    <w:rsid w:val="00C60FED"/>
    <w:rsid w:val="00C61538"/>
    <w:rsid w:val="00C618D0"/>
    <w:rsid w:val="00C61D06"/>
    <w:rsid w:val="00C6252E"/>
    <w:rsid w:val="00C62BE4"/>
    <w:rsid w:val="00C639FB"/>
    <w:rsid w:val="00C63B49"/>
    <w:rsid w:val="00C64519"/>
    <w:rsid w:val="00C6457F"/>
    <w:rsid w:val="00C64751"/>
    <w:rsid w:val="00C6494A"/>
    <w:rsid w:val="00C64D04"/>
    <w:rsid w:val="00C64D2F"/>
    <w:rsid w:val="00C65113"/>
    <w:rsid w:val="00C65ADE"/>
    <w:rsid w:val="00C66A08"/>
    <w:rsid w:val="00C6709A"/>
    <w:rsid w:val="00C678F1"/>
    <w:rsid w:val="00C70152"/>
    <w:rsid w:val="00C7053D"/>
    <w:rsid w:val="00C70544"/>
    <w:rsid w:val="00C71902"/>
    <w:rsid w:val="00C71C91"/>
    <w:rsid w:val="00C71E4E"/>
    <w:rsid w:val="00C72312"/>
    <w:rsid w:val="00C72802"/>
    <w:rsid w:val="00C72907"/>
    <w:rsid w:val="00C72C8F"/>
    <w:rsid w:val="00C734FB"/>
    <w:rsid w:val="00C735DD"/>
    <w:rsid w:val="00C74469"/>
    <w:rsid w:val="00C74AE2"/>
    <w:rsid w:val="00C75039"/>
    <w:rsid w:val="00C7552C"/>
    <w:rsid w:val="00C757ED"/>
    <w:rsid w:val="00C75D1D"/>
    <w:rsid w:val="00C77248"/>
    <w:rsid w:val="00C7739A"/>
    <w:rsid w:val="00C776D8"/>
    <w:rsid w:val="00C77983"/>
    <w:rsid w:val="00C77A66"/>
    <w:rsid w:val="00C77A9A"/>
    <w:rsid w:val="00C80C05"/>
    <w:rsid w:val="00C81820"/>
    <w:rsid w:val="00C81928"/>
    <w:rsid w:val="00C81B7F"/>
    <w:rsid w:val="00C821D3"/>
    <w:rsid w:val="00C8274F"/>
    <w:rsid w:val="00C82CCE"/>
    <w:rsid w:val="00C82DA3"/>
    <w:rsid w:val="00C83F26"/>
    <w:rsid w:val="00C84F7B"/>
    <w:rsid w:val="00C85AAF"/>
    <w:rsid w:val="00C85DAD"/>
    <w:rsid w:val="00C86B26"/>
    <w:rsid w:val="00C870EB"/>
    <w:rsid w:val="00C87752"/>
    <w:rsid w:val="00C87AC8"/>
    <w:rsid w:val="00C87F47"/>
    <w:rsid w:val="00C904FA"/>
    <w:rsid w:val="00C90818"/>
    <w:rsid w:val="00C90CD3"/>
    <w:rsid w:val="00C90E99"/>
    <w:rsid w:val="00C9101B"/>
    <w:rsid w:val="00C911E5"/>
    <w:rsid w:val="00C91324"/>
    <w:rsid w:val="00C91349"/>
    <w:rsid w:val="00C915AE"/>
    <w:rsid w:val="00C91D22"/>
    <w:rsid w:val="00C91EBF"/>
    <w:rsid w:val="00C92031"/>
    <w:rsid w:val="00C9216C"/>
    <w:rsid w:val="00C922B7"/>
    <w:rsid w:val="00C92427"/>
    <w:rsid w:val="00C9294C"/>
    <w:rsid w:val="00C92CF9"/>
    <w:rsid w:val="00C92E6F"/>
    <w:rsid w:val="00C93529"/>
    <w:rsid w:val="00C94832"/>
    <w:rsid w:val="00C9487A"/>
    <w:rsid w:val="00C952AF"/>
    <w:rsid w:val="00C96E1D"/>
    <w:rsid w:val="00C978CD"/>
    <w:rsid w:val="00CA0410"/>
    <w:rsid w:val="00CA0A80"/>
    <w:rsid w:val="00CA0BD2"/>
    <w:rsid w:val="00CA118A"/>
    <w:rsid w:val="00CA1200"/>
    <w:rsid w:val="00CA1F1A"/>
    <w:rsid w:val="00CA27E3"/>
    <w:rsid w:val="00CA282A"/>
    <w:rsid w:val="00CA295F"/>
    <w:rsid w:val="00CA2C1C"/>
    <w:rsid w:val="00CA3BCC"/>
    <w:rsid w:val="00CA4731"/>
    <w:rsid w:val="00CA5227"/>
    <w:rsid w:val="00CA61CA"/>
    <w:rsid w:val="00CA6D24"/>
    <w:rsid w:val="00CA6F64"/>
    <w:rsid w:val="00CA7E63"/>
    <w:rsid w:val="00CB006D"/>
    <w:rsid w:val="00CB0847"/>
    <w:rsid w:val="00CB0AE1"/>
    <w:rsid w:val="00CB12F4"/>
    <w:rsid w:val="00CB1A32"/>
    <w:rsid w:val="00CB1AFF"/>
    <w:rsid w:val="00CB1EB3"/>
    <w:rsid w:val="00CB1F4C"/>
    <w:rsid w:val="00CB3B38"/>
    <w:rsid w:val="00CB3C87"/>
    <w:rsid w:val="00CB400E"/>
    <w:rsid w:val="00CB41E3"/>
    <w:rsid w:val="00CB4326"/>
    <w:rsid w:val="00CB53CE"/>
    <w:rsid w:val="00CB6362"/>
    <w:rsid w:val="00CB6CB9"/>
    <w:rsid w:val="00CB7F65"/>
    <w:rsid w:val="00CC006F"/>
    <w:rsid w:val="00CC061F"/>
    <w:rsid w:val="00CC0789"/>
    <w:rsid w:val="00CC098F"/>
    <w:rsid w:val="00CC1197"/>
    <w:rsid w:val="00CC2024"/>
    <w:rsid w:val="00CC2BA7"/>
    <w:rsid w:val="00CC2D3E"/>
    <w:rsid w:val="00CC3352"/>
    <w:rsid w:val="00CC3934"/>
    <w:rsid w:val="00CC3B52"/>
    <w:rsid w:val="00CC48AA"/>
    <w:rsid w:val="00CC4D03"/>
    <w:rsid w:val="00CC4F18"/>
    <w:rsid w:val="00CC4FCF"/>
    <w:rsid w:val="00CC5338"/>
    <w:rsid w:val="00CC5919"/>
    <w:rsid w:val="00CC7FB5"/>
    <w:rsid w:val="00CC7FD0"/>
    <w:rsid w:val="00CD06B1"/>
    <w:rsid w:val="00CD07C9"/>
    <w:rsid w:val="00CD0AD6"/>
    <w:rsid w:val="00CD1B46"/>
    <w:rsid w:val="00CD2B27"/>
    <w:rsid w:val="00CD2FF7"/>
    <w:rsid w:val="00CD4837"/>
    <w:rsid w:val="00CD59A8"/>
    <w:rsid w:val="00CD5AC5"/>
    <w:rsid w:val="00CD67DE"/>
    <w:rsid w:val="00CD6CE8"/>
    <w:rsid w:val="00CD7779"/>
    <w:rsid w:val="00CD7B9C"/>
    <w:rsid w:val="00CD7BEE"/>
    <w:rsid w:val="00CE1043"/>
    <w:rsid w:val="00CE10E7"/>
    <w:rsid w:val="00CE2892"/>
    <w:rsid w:val="00CE2D38"/>
    <w:rsid w:val="00CE339A"/>
    <w:rsid w:val="00CE3E3F"/>
    <w:rsid w:val="00CE3F13"/>
    <w:rsid w:val="00CE67C9"/>
    <w:rsid w:val="00CE6AF7"/>
    <w:rsid w:val="00CE72F5"/>
    <w:rsid w:val="00CF02C2"/>
    <w:rsid w:val="00CF0584"/>
    <w:rsid w:val="00CF16C3"/>
    <w:rsid w:val="00CF1AE0"/>
    <w:rsid w:val="00CF2B8B"/>
    <w:rsid w:val="00CF2C5D"/>
    <w:rsid w:val="00CF324F"/>
    <w:rsid w:val="00CF3491"/>
    <w:rsid w:val="00CF3AD4"/>
    <w:rsid w:val="00CF3CBD"/>
    <w:rsid w:val="00CF3CE9"/>
    <w:rsid w:val="00CF43D0"/>
    <w:rsid w:val="00CF501E"/>
    <w:rsid w:val="00CF5ABB"/>
    <w:rsid w:val="00CF5CC6"/>
    <w:rsid w:val="00CF6321"/>
    <w:rsid w:val="00CF695A"/>
    <w:rsid w:val="00CF767F"/>
    <w:rsid w:val="00D00D37"/>
    <w:rsid w:val="00D010C8"/>
    <w:rsid w:val="00D011C7"/>
    <w:rsid w:val="00D012EF"/>
    <w:rsid w:val="00D01866"/>
    <w:rsid w:val="00D01998"/>
    <w:rsid w:val="00D025A0"/>
    <w:rsid w:val="00D02679"/>
    <w:rsid w:val="00D03624"/>
    <w:rsid w:val="00D03670"/>
    <w:rsid w:val="00D04D3E"/>
    <w:rsid w:val="00D05299"/>
    <w:rsid w:val="00D052A5"/>
    <w:rsid w:val="00D06D00"/>
    <w:rsid w:val="00D07CC3"/>
    <w:rsid w:val="00D100B0"/>
    <w:rsid w:val="00D1054F"/>
    <w:rsid w:val="00D11982"/>
    <w:rsid w:val="00D11D42"/>
    <w:rsid w:val="00D12238"/>
    <w:rsid w:val="00D1228F"/>
    <w:rsid w:val="00D123CC"/>
    <w:rsid w:val="00D130D1"/>
    <w:rsid w:val="00D15582"/>
    <w:rsid w:val="00D173C5"/>
    <w:rsid w:val="00D17DDF"/>
    <w:rsid w:val="00D17FB3"/>
    <w:rsid w:val="00D202D8"/>
    <w:rsid w:val="00D2057D"/>
    <w:rsid w:val="00D20C32"/>
    <w:rsid w:val="00D2135F"/>
    <w:rsid w:val="00D21CE9"/>
    <w:rsid w:val="00D22740"/>
    <w:rsid w:val="00D22B1A"/>
    <w:rsid w:val="00D22BD2"/>
    <w:rsid w:val="00D23582"/>
    <w:rsid w:val="00D243A2"/>
    <w:rsid w:val="00D2466E"/>
    <w:rsid w:val="00D24F2B"/>
    <w:rsid w:val="00D252F2"/>
    <w:rsid w:val="00D25679"/>
    <w:rsid w:val="00D25690"/>
    <w:rsid w:val="00D26631"/>
    <w:rsid w:val="00D27302"/>
    <w:rsid w:val="00D276F3"/>
    <w:rsid w:val="00D27CA5"/>
    <w:rsid w:val="00D3034B"/>
    <w:rsid w:val="00D307E4"/>
    <w:rsid w:val="00D30BFC"/>
    <w:rsid w:val="00D318FB"/>
    <w:rsid w:val="00D31E58"/>
    <w:rsid w:val="00D320EC"/>
    <w:rsid w:val="00D3212E"/>
    <w:rsid w:val="00D33183"/>
    <w:rsid w:val="00D332A9"/>
    <w:rsid w:val="00D33B6E"/>
    <w:rsid w:val="00D35182"/>
    <w:rsid w:val="00D35275"/>
    <w:rsid w:val="00D36D2C"/>
    <w:rsid w:val="00D378E7"/>
    <w:rsid w:val="00D4046F"/>
    <w:rsid w:val="00D40D4C"/>
    <w:rsid w:val="00D410BD"/>
    <w:rsid w:val="00D4120B"/>
    <w:rsid w:val="00D41649"/>
    <w:rsid w:val="00D419DD"/>
    <w:rsid w:val="00D42612"/>
    <w:rsid w:val="00D42B35"/>
    <w:rsid w:val="00D4336E"/>
    <w:rsid w:val="00D440CA"/>
    <w:rsid w:val="00D44196"/>
    <w:rsid w:val="00D458B2"/>
    <w:rsid w:val="00D45D9B"/>
    <w:rsid w:val="00D4627C"/>
    <w:rsid w:val="00D46C84"/>
    <w:rsid w:val="00D46E06"/>
    <w:rsid w:val="00D46E66"/>
    <w:rsid w:val="00D47466"/>
    <w:rsid w:val="00D47909"/>
    <w:rsid w:val="00D47A5E"/>
    <w:rsid w:val="00D47C06"/>
    <w:rsid w:val="00D50EAB"/>
    <w:rsid w:val="00D5130D"/>
    <w:rsid w:val="00D51329"/>
    <w:rsid w:val="00D51B79"/>
    <w:rsid w:val="00D5202C"/>
    <w:rsid w:val="00D5213F"/>
    <w:rsid w:val="00D52D26"/>
    <w:rsid w:val="00D53314"/>
    <w:rsid w:val="00D53C8F"/>
    <w:rsid w:val="00D553DC"/>
    <w:rsid w:val="00D56AB9"/>
    <w:rsid w:val="00D5775A"/>
    <w:rsid w:val="00D578BA"/>
    <w:rsid w:val="00D60253"/>
    <w:rsid w:val="00D607F5"/>
    <w:rsid w:val="00D609EF"/>
    <w:rsid w:val="00D60DEA"/>
    <w:rsid w:val="00D62F49"/>
    <w:rsid w:val="00D6365E"/>
    <w:rsid w:val="00D63697"/>
    <w:rsid w:val="00D6392B"/>
    <w:rsid w:val="00D63D51"/>
    <w:rsid w:val="00D64170"/>
    <w:rsid w:val="00D6480D"/>
    <w:rsid w:val="00D657F9"/>
    <w:rsid w:val="00D66B0C"/>
    <w:rsid w:val="00D674DF"/>
    <w:rsid w:val="00D676F7"/>
    <w:rsid w:val="00D676FB"/>
    <w:rsid w:val="00D678CD"/>
    <w:rsid w:val="00D70392"/>
    <w:rsid w:val="00D7050A"/>
    <w:rsid w:val="00D70742"/>
    <w:rsid w:val="00D71203"/>
    <w:rsid w:val="00D71279"/>
    <w:rsid w:val="00D72942"/>
    <w:rsid w:val="00D72A07"/>
    <w:rsid w:val="00D73CE5"/>
    <w:rsid w:val="00D7458D"/>
    <w:rsid w:val="00D74EAF"/>
    <w:rsid w:val="00D75411"/>
    <w:rsid w:val="00D75C1C"/>
    <w:rsid w:val="00D75D3B"/>
    <w:rsid w:val="00D76247"/>
    <w:rsid w:val="00D76533"/>
    <w:rsid w:val="00D76E48"/>
    <w:rsid w:val="00D77024"/>
    <w:rsid w:val="00D81417"/>
    <w:rsid w:val="00D81E3D"/>
    <w:rsid w:val="00D82471"/>
    <w:rsid w:val="00D82672"/>
    <w:rsid w:val="00D82946"/>
    <w:rsid w:val="00D83508"/>
    <w:rsid w:val="00D84162"/>
    <w:rsid w:val="00D860AF"/>
    <w:rsid w:val="00D8617D"/>
    <w:rsid w:val="00D8630A"/>
    <w:rsid w:val="00D86756"/>
    <w:rsid w:val="00D8685A"/>
    <w:rsid w:val="00D873A6"/>
    <w:rsid w:val="00D879A3"/>
    <w:rsid w:val="00D90D14"/>
    <w:rsid w:val="00D91D3F"/>
    <w:rsid w:val="00D922A5"/>
    <w:rsid w:val="00D9402B"/>
    <w:rsid w:val="00D94717"/>
    <w:rsid w:val="00D94B65"/>
    <w:rsid w:val="00D94D5E"/>
    <w:rsid w:val="00D95160"/>
    <w:rsid w:val="00D95CB3"/>
    <w:rsid w:val="00D96F21"/>
    <w:rsid w:val="00D97707"/>
    <w:rsid w:val="00DA0BA3"/>
    <w:rsid w:val="00DA1680"/>
    <w:rsid w:val="00DA2275"/>
    <w:rsid w:val="00DA2B20"/>
    <w:rsid w:val="00DA3533"/>
    <w:rsid w:val="00DA35B3"/>
    <w:rsid w:val="00DA38DB"/>
    <w:rsid w:val="00DA3F29"/>
    <w:rsid w:val="00DA4D6D"/>
    <w:rsid w:val="00DA5AD8"/>
    <w:rsid w:val="00DA5DDF"/>
    <w:rsid w:val="00DA6B36"/>
    <w:rsid w:val="00DA7441"/>
    <w:rsid w:val="00DA7BFF"/>
    <w:rsid w:val="00DB223A"/>
    <w:rsid w:val="00DB234D"/>
    <w:rsid w:val="00DB306F"/>
    <w:rsid w:val="00DB42AF"/>
    <w:rsid w:val="00DB4760"/>
    <w:rsid w:val="00DB4EBA"/>
    <w:rsid w:val="00DB50CE"/>
    <w:rsid w:val="00DB5150"/>
    <w:rsid w:val="00DB6410"/>
    <w:rsid w:val="00DB67C2"/>
    <w:rsid w:val="00DB6B73"/>
    <w:rsid w:val="00DB6EE7"/>
    <w:rsid w:val="00DB7C2B"/>
    <w:rsid w:val="00DC0610"/>
    <w:rsid w:val="00DC0886"/>
    <w:rsid w:val="00DC1752"/>
    <w:rsid w:val="00DC17D8"/>
    <w:rsid w:val="00DC1F2C"/>
    <w:rsid w:val="00DC2CCD"/>
    <w:rsid w:val="00DC2E1F"/>
    <w:rsid w:val="00DC481B"/>
    <w:rsid w:val="00DC4927"/>
    <w:rsid w:val="00DC4C44"/>
    <w:rsid w:val="00DC4C8F"/>
    <w:rsid w:val="00DC4FA4"/>
    <w:rsid w:val="00DC51D4"/>
    <w:rsid w:val="00DC65CF"/>
    <w:rsid w:val="00DC6835"/>
    <w:rsid w:val="00DC6F66"/>
    <w:rsid w:val="00DC78B4"/>
    <w:rsid w:val="00DC7C56"/>
    <w:rsid w:val="00DC7DA4"/>
    <w:rsid w:val="00DD009F"/>
    <w:rsid w:val="00DD1343"/>
    <w:rsid w:val="00DD2484"/>
    <w:rsid w:val="00DD3F0A"/>
    <w:rsid w:val="00DD5A78"/>
    <w:rsid w:val="00DD63D2"/>
    <w:rsid w:val="00DD6DA3"/>
    <w:rsid w:val="00DE07AE"/>
    <w:rsid w:val="00DE0854"/>
    <w:rsid w:val="00DE0F8E"/>
    <w:rsid w:val="00DE1AF8"/>
    <w:rsid w:val="00DE28CF"/>
    <w:rsid w:val="00DE2FC2"/>
    <w:rsid w:val="00DE30FC"/>
    <w:rsid w:val="00DE39E8"/>
    <w:rsid w:val="00DE3DD2"/>
    <w:rsid w:val="00DE5233"/>
    <w:rsid w:val="00DE55E0"/>
    <w:rsid w:val="00DE5D65"/>
    <w:rsid w:val="00DE60AB"/>
    <w:rsid w:val="00DE6D7F"/>
    <w:rsid w:val="00DF029B"/>
    <w:rsid w:val="00DF0E1C"/>
    <w:rsid w:val="00DF0F7E"/>
    <w:rsid w:val="00DF16B9"/>
    <w:rsid w:val="00DF1C91"/>
    <w:rsid w:val="00DF1CFE"/>
    <w:rsid w:val="00DF26D3"/>
    <w:rsid w:val="00DF2C5B"/>
    <w:rsid w:val="00DF2E68"/>
    <w:rsid w:val="00DF2EB5"/>
    <w:rsid w:val="00DF37C9"/>
    <w:rsid w:val="00DF3EC5"/>
    <w:rsid w:val="00DF48F1"/>
    <w:rsid w:val="00DF4F8F"/>
    <w:rsid w:val="00DF55BA"/>
    <w:rsid w:val="00DF7012"/>
    <w:rsid w:val="00DF78F2"/>
    <w:rsid w:val="00E00745"/>
    <w:rsid w:val="00E007C2"/>
    <w:rsid w:val="00E013E4"/>
    <w:rsid w:val="00E01EDA"/>
    <w:rsid w:val="00E02B9B"/>
    <w:rsid w:val="00E02BC5"/>
    <w:rsid w:val="00E03604"/>
    <w:rsid w:val="00E036C1"/>
    <w:rsid w:val="00E03C2A"/>
    <w:rsid w:val="00E04237"/>
    <w:rsid w:val="00E0472D"/>
    <w:rsid w:val="00E049C4"/>
    <w:rsid w:val="00E050B1"/>
    <w:rsid w:val="00E050E6"/>
    <w:rsid w:val="00E05DC1"/>
    <w:rsid w:val="00E06A59"/>
    <w:rsid w:val="00E07071"/>
    <w:rsid w:val="00E07194"/>
    <w:rsid w:val="00E0770F"/>
    <w:rsid w:val="00E109E5"/>
    <w:rsid w:val="00E10B09"/>
    <w:rsid w:val="00E10CC9"/>
    <w:rsid w:val="00E114CD"/>
    <w:rsid w:val="00E115E5"/>
    <w:rsid w:val="00E12A91"/>
    <w:rsid w:val="00E12E20"/>
    <w:rsid w:val="00E13C80"/>
    <w:rsid w:val="00E14104"/>
    <w:rsid w:val="00E145C1"/>
    <w:rsid w:val="00E15A4E"/>
    <w:rsid w:val="00E161E5"/>
    <w:rsid w:val="00E16241"/>
    <w:rsid w:val="00E168AE"/>
    <w:rsid w:val="00E16EB8"/>
    <w:rsid w:val="00E17205"/>
    <w:rsid w:val="00E17948"/>
    <w:rsid w:val="00E21614"/>
    <w:rsid w:val="00E21EE0"/>
    <w:rsid w:val="00E220D0"/>
    <w:rsid w:val="00E2325B"/>
    <w:rsid w:val="00E232C4"/>
    <w:rsid w:val="00E23544"/>
    <w:rsid w:val="00E24B69"/>
    <w:rsid w:val="00E25FFF"/>
    <w:rsid w:val="00E27348"/>
    <w:rsid w:val="00E27501"/>
    <w:rsid w:val="00E300FE"/>
    <w:rsid w:val="00E30BD0"/>
    <w:rsid w:val="00E31801"/>
    <w:rsid w:val="00E31C01"/>
    <w:rsid w:val="00E32C8F"/>
    <w:rsid w:val="00E33006"/>
    <w:rsid w:val="00E33862"/>
    <w:rsid w:val="00E33AF4"/>
    <w:rsid w:val="00E34A59"/>
    <w:rsid w:val="00E3539D"/>
    <w:rsid w:val="00E35A8C"/>
    <w:rsid w:val="00E36856"/>
    <w:rsid w:val="00E40509"/>
    <w:rsid w:val="00E40928"/>
    <w:rsid w:val="00E40B97"/>
    <w:rsid w:val="00E40CA9"/>
    <w:rsid w:val="00E412BD"/>
    <w:rsid w:val="00E418A7"/>
    <w:rsid w:val="00E42E75"/>
    <w:rsid w:val="00E42FDA"/>
    <w:rsid w:val="00E4307C"/>
    <w:rsid w:val="00E43808"/>
    <w:rsid w:val="00E43A66"/>
    <w:rsid w:val="00E445E6"/>
    <w:rsid w:val="00E446F2"/>
    <w:rsid w:val="00E4518E"/>
    <w:rsid w:val="00E45902"/>
    <w:rsid w:val="00E46319"/>
    <w:rsid w:val="00E46543"/>
    <w:rsid w:val="00E47331"/>
    <w:rsid w:val="00E473D7"/>
    <w:rsid w:val="00E47DF4"/>
    <w:rsid w:val="00E50732"/>
    <w:rsid w:val="00E515BE"/>
    <w:rsid w:val="00E5189F"/>
    <w:rsid w:val="00E5269A"/>
    <w:rsid w:val="00E52E93"/>
    <w:rsid w:val="00E5355F"/>
    <w:rsid w:val="00E538B5"/>
    <w:rsid w:val="00E53F7F"/>
    <w:rsid w:val="00E54923"/>
    <w:rsid w:val="00E550A8"/>
    <w:rsid w:val="00E55F06"/>
    <w:rsid w:val="00E5680D"/>
    <w:rsid w:val="00E56BFD"/>
    <w:rsid w:val="00E5758F"/>
    <w:rsid w:val="00E57671"/>
    <w:rsid w:val="00E57681"/>
    <w:rsid w:val="00E57BF2"/>
    <w:rsid w:val="00E57D56"/>
    <w:rsid w:val="00E60004"/>
    <w:rsid w:val="00E60776"/>
    <w:rsid w:val="00E60D34"/>
    <w:rsid w:val="00E6142B"/>
    <w:rsid w:val="00E62085"/>
    <w:rsid w:val="00E62741"/>
    <w:rsid w:val="00E63B3F"/>
    <w:rsid w:val="00E6570A"/>
    <w:rsid w:val="00E65FDB"/>
    <w:rsid w:val="00E66F33"/>
    <w:rsid w:val="00E6701D"/>
    <w:rsid w:val="00E67B10"/>
    <w:rsid w:val="00E70638"/>
    <w:rsid w:val="00E706CD"/>
    <w:rsid w:val="00E70793"/>
    <w:rsid w:val="00E70FEC"/>
    <w:rsid w:val="00E71104"/>
    <w:rsid w:val="00E71566"/>
    <w:rsid w:val="00E71FB3"/>
    <w:rsid w:val="00E72050"/>
    <w:rsid w:val="00E7206D"/>
    <w:rsid w:val="00E73355"/>
    <w:rsid w:val="00E74238"/>
    <w:rsid w:val="00E7557E"/>
    <w:rsid w:val="00E760CA"/>
    <w:rsid w:val="00E76A46"/>
    <w:rsid w:val="00E76E3D"/>
    <w:rsid w:val="00E809B8"/>
    <w:rsid w:val="00E80D8C"/>
    <w:rsid w:val="00E812EA"/>
    <w:rsid w:val="00E8144F"/>
    <w:rsid w:val="00E81465"/>
    <w:rsid w:val="00E816CF"/>
    <w:rsid w:val="00E82388"/>
    <w:rsid w:val="00E8253B"/>
    <w:rsid w:val="00E826C2"/>
    <w:rsid w:val="00E82D92"/>
    <w:rsid w:val="00E83A24"/>
    <w:rsid w:val="00E83CF6"/>
    <w:rsid w:val="00E83E6B"/>
    <w:rsid w:val="00E84C21"/>
    <w:rsid w:val="00E84CA1"/>
    <w:rsid w:val="00E84F22"/>
    <w:rsid w:val="00E85829"/>
    <w:rsid w:val="00E85A58"/>
    <w:rsid w:val="00E85EAC"/>
    <w:rsid w:val="00E864F5"/>
    <w:rsid w:val="00E86717"/>
    <w:rsid w:val="00E869D1"/>
    <w:rsid w:val="00E87698"/>
    <w:rsid w:val="00E90380"/>
    <w:rsid w:val="00E90517"/>
    <w:rsid w:val="00E90619"/>
    <w:rsid w:val="00E90BB3"/>
    <w:rsid w:val="00E90D25"/>
    <w:rsid w:val="00E917AF"/>
    <w:rsid w:val="00E91BA9"/>
    <w:rsid w:val="00E91E73"/>
    <w:rsid w:val="00E922FE"/>
    <w:rsid w:val="00E9232F"/>
    <w:rsid w:val="00E9317D"/>
    <w:rsid w:val="00E93498"/>
    <w:rsid w:val="00E94517"/>
    <w:rsid w:val="00E947BA"/>
    <w:rsid w:val="00E9481B"/>
    <w:rsid w:val="00E94C4A"/>
    <w:rsid w:val="00E94F2D"/>
    <w:rsid w:val="00E956C2"/>
    <w:rsid w:val="00E9723B"/>
    <w:rsid w:val="00E972B2"/>
    <w:rsid w:val="00E976AA"/>
    <w:rsid w:val="00E97E64"/>
    <w:rsid w:val="00EA1548"/>
    <w:rsid w:val="00EA1616"/>
    <w:rsid w:val="00EA297E"/>
    <w:rsid w:val="00EA2AA2"/>
    <w:rsid w:val="00EA3685"/>
    <w:rsid w:val="00EA3C5B"/>
    <w:rsid w:val="00EA5226"/>
    <w:rsid w:val="00EA59E0"/>
    <w:rsid w:val="00EA63CE"/>
    <w:rsid w:val="00EB01DC"/>
    <w:rsid w:val="00EB0615"/>
    <w:rsid w:val="00EB0A5D"/>
    <w:rsid w:val="00EB1FBE"/>
    <w:rsid w:val="00EB21D6"/>
    <w:rsid w:val="00EB2A5C"/>
    <w:rsid w:val="00EB33D6"/>
    <w:rsid w:val="00EB3828"/>
    <w:rsid w:val="00EB3B0A"/>
    <w:rsid w:val="00EB479B"/>
    <w:rsid w:val="00EB6824"/>
    <w:rsid w:val="00EB71D2"/>
    <w:rsid w:val="00EB73DD"/>
    <w:rsid w:val="00EB7ABD"/>
    <w:rsid w:val="00EC0521"/>
    <w:rsid w:val="00EC06E6"/>
    <w:rsid w:val="00EC101E"/>
    <w:rsid w:val="00EC12B0"/>
    <w:rsid w:val="00EC1C64"/>
    <w:rsid w:val="00EC2F20"/>
    <w:rsid w:val="00EC342B"/>
    <w:rsid w:val="00EC35C0"/>
    <w:rsid w:val="00EC370E"/>
    <w:rsid w:val="00EC394C"/>
    <w:rsid w:val="00EC432E"/>
    <w:rsid w:val="00EC4934"/>
    <w:rsid w:val="00EC4ADF"/>
    <w:rsid w:val="00EC54DD"/>
    <w:rsid w:val="00EC5E39"/>
    <w:rsid w:val="00EC63D3"/>
    <w:rsid w:val="00EC698A"/>
    <w:rsid w:val="00EC6E89"/>
    <w:rsid w:val="00ED0920"/>
    <w:rsid w:val="00ED0D56"/>
    <w:rsid w:val="00ED1159"/>
    <w:rsid w:val="00ED1F83"/>
    <w:rsid w:val="00ED28DE"/>
    <w:rsid w:val="00ED3044"/>
    <w:rsid w:val="00ED30D9"/>
    <w:rsid w:val="00ED387A"/>
    <w:rsid w:val="00ED46F6"/>
    <w:rsid w:val="00ED4BE7"/>
    <w:rsid w:val="00ED5C55"/>
    <w:rsid w:val="00ED5E16"/>
    <w:rsid w:val="00ED6DCF"/>
    <w:rsid w:val="00ED737D"/>
    <w:rsid w:val="00ED76FE"/>
    <w:rsid w:val="00EE00D5"/>
    <w:rsid w:val="00EE01B0"/>
    <w:rsid w:val="00EE1509"/>
    <w:rsid w:val="00EE18DD"/>
    <w:rsid w:val="00EE1ECB"/>
    <w:rsid w:val="00EE2062"/>
    <w:rsid w:val="00EE2BE2"/>
    <w:rsid w:val="00EE2FFD"/>
    <w:rsid w:val="00EE3BC8"/>
    <w:rsid w:val="00EE3BF9"/>
    <w:rsid w:val="00EE41CF"/>
    <w:rsid w:val="00EE430C"/>
    <w:rsid w:val="00EE4775"/>
    <w:rsid w:val="00EE65D3"/>
    <w:rsid w:val="00EE67D3"/>
    <w:rsid w:val="00EE6908"/>
    <w:rsid w:val="00EE7236"/>
    <w:rsid w:val="00EE786C"/>
    <w:rsid w:val="00EF0209"/>
    <w:rsid w:val="00EF086B"/>
    <w:rsid w:val="00EF11BF"/>
    <w:rsid w:val="00EF1371"/>
    <w:rsid w:val="00EF1BC6"/>
    <w:rsid w:val="00EF1D1C"/>
    <w:rsid w:val="00EF1F8B"/>
    <w:rsid w:val="00EF2727"/>
    <w:rsid w:val="00EF352D"/>
    <w:rsid w:val="00EF3C7B"/>
    <w:rsid w:val="00EF48A0"/>
    <w:rsid w:val="00EF559C"/>
    <w:rsid w:val="00EF591E"/>
    <w:rsid w:val="00EF5BF9"/>
    <w:rsid w:val="00EF5FBB"/>
    <w:rsid w:val="00EF6468"/>
    <w:rsid w:val="00EF6566"/>
    <w:rsid w:val="00EF6CE1"/>
    <w:rsid w:val="00EF72C0"/>
    <w:rsid w:val="00EF7362"/>
    <w:rsid w:val="00EF79F6"/>
    <w:rsid w:val="00F006E2"/>
    <w:rsid w:val="00F0070D"/>
    <w:rsid w:val="00F00D97"/>
    <w:rsid w:val="00F011EB"/>
    <w:rsid w:val="00F0171E"/>
    <w:rsid w:val="00F01943"/>
    <w:rsid w:val="00F01F69"/>
    <w:rsid w:val="00F02942"/>
    <w:rsid w:val="00F02B1E"/>
    <w:rsid w:val="00F030B9"/>
    <w:rsid w:val="00F0383B"/>
    <w:rsid w:val="00F0388E"/>
    <w:rsid w:val="00F04BBE"/>
    <w:rsid w:val="00F05619"/>
    <w:rsid w:val="00F06ACF"/>
    <w:rsid w:val="00F06BAF"/>
    <w:rsid w:val="00F07E2B"/>
    <w:rsid w:val="00F10207"/>
    <w:rsid w:val="00F1030B"/>
    <w:rsid w:val="00F10A76"/>
    <w:rsid w:val="00F114C6"/>
    <w:rsid w:val="00F1200D"/>
    <w:rsid w:val="00F12397"/>
    <w:rsid w:val="00F126C5"/>
    <w:rsid w:val="00F12FEC"/>
    <w:rsid w:val="00F13B98"/>
    <w:rsid w:val="00F13BBC"/>
    <w:rsid w:val="00F144C0"/>
    <w:rsid w:val="00F15357"/>
    <w:rsid w:val="00F15FBF"/>
    <w:rsid w:val="00F16831"/>
    <w:rsid w:val="00F1742C"/>
    <w:rsid w:val="00F17868"/>
    <w:rsid w:val="00F17C29"/>
    <w:rsid w:val="00F20AA5"/>
    <w:rsid w:val="00F21113"/>
    <w:rsid w:val="00F21284"/>
    <w:rsid w:val="00F21335"/>
    <w:rsid w:val="00F2152E"/>
    <w:rsid w:val="00F2160E"/>
    <w:rsid w:val="00F21E2B"/>
    <w:rsid w:val="00F22AC5"/>
    <w:rsid w:val="00F22BFB"/>
    <w:rsid w:val="00F23A3A"/>
    <w:rsid w:val="00F245F3"/>
    <w:rsid w:val="00F25862"/>
    <w:rsid w:val="00F26511"/>
    <w:rsid w:val="00F2702A"/>
    <w:rsid w:val="00F2705F"/>
    <w:rsid w:val="00F279DA"/>
    <w:rsid w:val="00F306E2"/>
    <w:rsid w:val="00F30758"/>
    <w:rsid w:val="00F307E2"/>
    <w:rsid w:val="00F30849"/>
    <w:rsid w:val="00F31828"/>
    <w:rsid w:val="00F31DF3"/>
    <w:rsid w:val="00F31FEA"/>
    <w:rsid w:val="00F33214"/>
    <w:rsid w:val="00F34834"/>
    <w:rsid w:val="00F34B09"/>
    <w:rsid w:val="00F34D18"/>
    <w:rsid w:val="00F34F48"/>
    <w:rsid w:val="00F35829"/>
    <w:rsid w:val="00F35E6B"/>
    <w:rsid w:val="00F404A7"/>
    <w:rsid w:val="00F407E9"/>
    <w:rsid w:val="00F40D62"/>
    <w:rsid w:val="00F418EF"/>
    <w:rsid w:val="00F41CB1"/>
    <w:rsid w:val="00F42096"/>
    <w:rsid w:val="00F425BC"/>
    <w:rsid w:val="00F42863"/>
    <w:rsid w:val="00F43044"/>
    <w:rsid w:val="00F43D8E"/>
    <w:rsid w:val="00F441AC"/>
    <w:rsid w:val="00F44B85"/>
    <w:rsid w:val="00F44DED"/>
    <w:rsid w:val="00F4506E"/>
    <w:rsid w:val="00F456B7"/>
    <w:rsid w:val="00F46701"/>
    <w:rsid w:val="00F46CB1"/>
    <w:rsid w:val="00F46E63"/>
    <w:rsid w:val="00F479CA"/>
    <w:rsid w:val="00F502FA"/>
    <w:rsid w:val="00F507B2"/>
    <w:rsid w:val="00F5110C"/>
    <w:rsid w:val="00F51359"/>
    <w:rsid w:val="00F51AAF"/>
    <w:rsid w:val="00F528EE"/>
    <w:rsid w:val="00F529C8"/>
    <w:rsid w:val="00F5326C"/>
    <w:rsid w:val="00F53C26"/>
    <w:rsid w:val="00F542CD"/>
    <w:rsid w:val="00F545B6"/>
    <w:rsid w:val="00F5573C"/>
    <w:rsid w:val="00F55CDF"/>
    <w:rsid w:val="00F5790D"/>
    <w:rsid w:val="00F60025"/>
    <w:rsid w:val="00F61A56"/>
    <w:rsid w:val="00F620F1"/>
    <w:rsid w:val="00F62444"/>
    <w:rsid w:val="00F62886"/>
    <w:rsid w:val="00F63FE0"/>
    <w:rsid w:val="00F641DA"/>
    <w:rsid w:val="00F644E0"/>
    <w:rsid w:val="00F64562"/>
    <w:rsid w:val="00F6513D"/>
    <w:rsid w:val="00F65243"/>
    <w:rsid w:val="00F653B3"/>
    <w:rsid w:val="00F65815"/>
    <w:rsid w:val="00F6620D"/>
    <w:rsid w:val="00F66BE1"/>
    <w:rsid w:val="00F6703F"/>
    <w:rsid w:val="00F67A51"/>
    <w:rsid w:val="00F71C47"/>
    <w:rsid w:val="00F71C5C"/>
    <w:rsid w:val="00F72623"/>
    <w:rsid w:val="00F729E5"/>
    <w:rsid w:val="00F72AB8"/>
    <w:rsid w:val="00F72C2F"/>
    <w:rsid w:val="00F72E06"/>
    <w:rsid w:val="00F73700"/>
    <w:rsid w:val="00F73DE4"/>
    <w:rsid w:val="00F7603F"/>
    <w:rsid w:val="00F76065"/>
    <w:rsid w:val="00F77410"/>
    <w:rsid w:val="00F77FA6"/>
    <w:rsid w:val="00F800F5"/>
    <w:rsid w:val="00F8098B"/>
    <w:rsid w:val="00F80BB4"/>
    <w:rsid w:val="00F81493"/>
    <w:rsid w:val="00F820AE"/>
    <w:rsid w:val="00F82647"/>
    <w:rsid w:val="00F83E51"/>
    <w:rsid w:val="00F85105"/>
    <w:rsid w:val="00F851EA"/>
    <w:rsid w:val="00F86453"/>
    <w:rsid w:val="00F8677F"/>
    <w:rsid w:val="00F868FF"/>
    <w:rsid w:val="00F86F43"/>
    <w:rsid w:val="00F87ADC"/>
    <w:rsid w:val="00F87C9B"/>
    <w:rsid w:val="00F910F9"/>
    <w:rsid w:val="00F91969"/>
    <w:rsid w:val="00F91C0E"/>
    <w:rsid w:val="00F927EA"/>
    <w:rsid w:val="00F92844"/>
    <w:rsid w:val="00F92C60"/>
    <w:rsid w:val="00F9386A"/>
    <w:rsid w:val="00F94169"/>
    <w:rsid w:val="00F961D7"/>
    <w:rsid w:val="00F963F7"/>
    <w:rsid w:val="00F97737"/>
    <w:rsid w:val="00F9776C"/>
    <w:rsid w:val="00F97B8B"/>
    <w:rsid w:val="00FA0ADC"/>
    <w:rsid w:val="00FA11BD"/>
    <w:rsid w:val="00FA18B8"/>
    <w:rsid w:val="00FA194A"/>
    <w:rsid w:val="00FA29C7"/>
    <w:rsid w:val="00FA37B2"/>
    <w:rsid w:val="00FA4435"/>
    <w:rsid w:val="00FA458E"/>
    <w:rsid w:val="00FA4770"/>
    <w:rsid w:val="00FA5089"/>
    <w:rsid w:val="00FA5842"/>
    <w:rsid w:val="00FA59E1"/>
    <w:rsid w:val="00FA6917"/>
    <w:rsid w:val="00FA7787"/>
    <w:rsid w:val="00FB0490"/>
    <w:rsid w:val="00FB1843"/>
    <w:rsid w:val="00FB2D15"/>
    <w:rsid w:val="00FB2D4E"/>
    <w:rsid w:val="00FB2F80"/>
    <w:rsid w:val="00FB3759"/>
    <w:rsid w:val="00FB3A8B"/>
    <w:rsid w:val="00FB3D4A"/>
    <w:rsid w:val="00FB4409"/>
    <w:rsid w:val="00FB4475"/>
    <w:rsid w:val="00FB48E1"/>
    <w:rsid w:val="00FB4940"/>
    <w:rsid w:val="00FB4D7A"/>
    <w:rsid w:val="00FB4DAC"/>
    <w:rsid w:val="00FB50BF"/>
    <w:rsid w:val="00FB58FF"/>
    <w:rsid w:val="00FB7218"/>
    <w:rsid w:val="00FB7DE5"/>
    <w:rsid w:val="00FC02EC"/>
    <w:rsid w:val="00FC0D7F"/>
    <w:rsid w:val="00FC169A"/>
    <w:rsid w:val="00FC27EB"/>
    <w:rsid w:val="00FC320D"/>
    <w:rsid w:val="00FC33CE"/>
    <w:rsid w:val="00FC3BA2"/>
    <w:rsid w:val="00FC45D4"/>
    <w:rsid w:val="00FC4DDC"/>
    <w:rsid w:val="00FC6110"/>
    <w:rsid w:val="00FC652F"/>
    <w:rsid w:val="00FC6786"/>
    <w:rsid w:val="00FC6984"/>
    <w:rsid w:val="00FC73FD"/>
    <w:rsid w:val="00FC7B29"/>
    <w:rsid w:val="00FC7C43"/>
    <w:rsid w:val="00FD0035"/>
    <w:rsid w:val="00FD0CDA"/>
    <w:rsid w:val="00FD115C"/>
    <w:rsid w:val="00FD1357"/>
    <w:rsid w:val="00FD193F"/>
    <w:rsid w:val="00FD1C23"/>
    <w:rsid w:val="00FD2057"/>
    <w:rsid w:val="00FD21A2"/>
    <w:rsid w:val="00FD22D3"/>
    <w:rsid w:val="00FD291F"/>
    <w:rsid w:val="00FD2E9B"/>
    <w:rsid w:val="00FD3091"/>
    <w:rsid w:val="00FD362D"/>
    <w:rsid w:val="00FD382A"/>
    <w:rsid w:val="00FD3CD2"/>
    <w:rsid w:val="00FD3EFC"/>
    <w:rsid w:val="00FD4622"/>
    <w:rsid w:val="00FD5483"/>
    <w:rsid w:val="00FD56FD"/>
    <w:rsid w:val="00FD5A33"/>
    <w:rsid w:val="00FD6134"/>
    <w:rsid w:val="00FD62DE"/>
    <w:rsid w:val="00FD67D0"/>
    <w:rsid w:val="00FD6CF9"/>
    <w:rsid w:val="00FD6FB6"/>
    <w:rsid w:val="00FD725B"/>
    <w:rsid w:val="00FD7338"/>
    <w:rsid w:val="00FD738D"/>
    <w:rsid w:val="00FD7934"/>
    <w:rsid w:val="00FD7AD0"/>
    <w:rsid w:val="00FE0DDA"/>
    <w:rsid w:val="00FE2313"/>
    <w:rsid w:val="00FE2E2E"/>
    <w:rsid w:val="00FE325A"/>
    <w:rsid w:val="00FE3995"/>
    <w:rsid w:val="00FE4331"/>
    <w:rsid w:val="00FE4FB0"/>
    <w:rsid w:val="00FE5FA3"/>
    <w:rsid w:val="00FE643D"/>
    <w:rsid w:val="00FE7331"/>
    <w:rsid w:val="00FE7E90"/>
    <w:rsid w:val="00FF0B78"/>
    <w:rsid w:val="00FF129D"/>
    <w:rsid w:val="00FF1840"/>
    <w:rsid w:val="00FF29EF"/>
    <w:rsid w:val="00FF31D3"/>
    <w:rsid w:val="00FF3216"/>
    <w:rsid w:val="00FF3E49"/>
    <w:rsid w:val="00FF3FC9"/>
    <w:rsid w:val="00FF59E5"/>
    <w:rsid w:val="00FF5B37"/>
    <w:rsid w:val="00FF67A1"/>
    <w:rsid w:val="00FF7F02"/>
    <w:rsid w:val="4B1EA54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FA762D"/>
  <w15:docId w15:val="{B0CE0452-B381-4E57-A201-F86E7C58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9"/>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461D0A"/>
    <w:pPr>
      <w:spacing w:after="240"/>
      <w:jc w:val="both"/>
    </w:pPr>
    <w:rPr>
      <w:sz w:val="24"/>
      <w:lang w:val="en-GB" w:eastAsia="en-US"/>
    </w:rPr>
  </w:style>
  <w:style w:type="paragraph" w:styleId="Kop1">
    <w:name w:val="heading 1"/>
    <w:aliases w:val="Titel hoofdstuk"/>
    <w:basedOn w:val="Plattetekst"/>
    <w:next w:val="Plattetekst"/>
    <w:link w:val="Kop1Char"/>
    <w:qFormat/>
    <w:rsid w:val="004771A1"/>
    <w:pPr>
      <w:keepNext/>
      <w:numPr>
        <w:numId w:val="21"/>
      </w:numPr>
      <w:spacing w:before="480"/>
      <w:jc w:val="left"/>
      <w:outlineLvl w:val="0"/>
    </w:pPr>
    <w:rPr>
      <w:b/>
      <w:sz w:val="26"/>
      <w:szCs w:val="26"/>
    </w:rPr>
  </w:style>
  <w:style w:type="paragraph" w:styleId="Kop2">
    <w:name w:val="heading 2"/>
    <w:aliases w:val="Titel paragraaf"/>
    <w:basedOn w:val="Kop1"/>
    <w:next w:val="Plattetekst"/>
    <w:link w:val="Kop2Char"/>
    <w:qFormat/>
    <w:rsid w:val="00E5680D"/>
    <w:pPr>
      <w:numPr>
        <w:ilvl w:val="1"/>
      </w:numPr>
      <w:spacing w:before="360"/>
      <w:outlineLvl w:val="1"/>
    </w:pPr>
    <w:rPr>
      <w:rFonts w:eastAsia="Verdana"/>
      <w:sz w:val="22"/>
      <w:szCs w:val="22"/>
      <w:lang w:bidi="en-GB"/>
    </w:rPr>
  </w:style>
  <w:style w:type="paragraph" w:styleId="Kop3">
    <w:name w:val="heading 3"/>
    <w:aliases w:val="Titel subparagraaf"/>
    <w:basedOn w:val="Kop2"/>
    <w:next w:val="Plattetekst"/>
    <w:qFormat/>
    <w:rsid w:val="00E5680D"/>
    <w:pPr>
      <w:numPr>
        <w:ilvl w:val="2"/>
      </w:numPr>
      <w:outlineLvl w:val="2"/>
    </w:pPr>
    <w:rPr>
      <w:sz w:val="21"/>
      <w:szCs w:val="21"/>
    </w:rPr>
  </w:style>
  <w:style w:type="paragraph" w:styleId="Kop4">
    <w:name w:val="heading 4"/>
    <w:basedOn w:val="Plattetekst"/>
    <w:next w:val="Plattetekst"/>
    <w:qFormat/>
    <w:rsid w:val="00551D1E"/>
    <w:pPr>
      <w:outlineLvl w:val="3"/>
    </w:pPr>
    <w:rPr>
      <w:b/>
    </w:rPr>
  </w:style>
  <w:style w:type="paragraph" w:styleId="Kop5">
    <w:name w:val="heading 5"/>
    <w:basedOn w:val="Standaard"/>
    <w:next w:val="Standaard"/>
    <w:qFormat/>
    <w:rsid w:val="00461D0A"/>
    <w:pPr>
      <w:numPr>
        <w:ilvl w:val="4"/>
        <w:numId w:val="21"/>
      </w:numPr>
      <w:spacing w:before="240" w:after="60"/>
      <w:outlineLvl w:val="4"/>
    </w:pPr>
    <w:rPr>
      <w:rFonts w:ascii="Arial" w:hAnsi="Arial"/>
      <w:sz w:val="22"/>
    </w:rPr>
  </w:style>
  <w:style w:type="paragraph" w:styleId="Kop6">
    <w:name w:val="heading 6"/>
    <w:basedOn w:val="Standaard"/>
    <w:next w:val="Standaard"/>
    <w:qFormat/>
    <w:rsid w:val="00461D0A"/>
    <w:pPr>
      <w:numPr>
        <w:ilvl w:val="5"/>
        <w:numId w:val="21"/>
      </w:numPr>
      <w:spacing w:before="240" w:after="60"/>
      <w:outlineLvl w:val="5"/>
    </w:pPr>
    <w:rPr>
      <w:rFonts w:ascii="Arial" w:hAnsi="Arial"/>
      <w:i/>
      <w:sz w:val="22"/>
    </w:rPr>
  </w:style>
  <w:style w:type="paragraph" w:styleId="Kop7">
    <w:name w:val="heading 7"/>
    <w:basedOn w:val="Standaard"/>
    <w:next w:val="Standaard"/>
    <w:qFormat/>
    <w:rsid w:val="00461D0A"/>
    <w:pPr>
      <w:numPr>
        <w:ilvl w:val="6"/>
        <w:numId w:val="21"/>
      </w:numPr>
      <w:spacing w:before="240" w:after="60"/>
      <w:outlineLvl w:val="6"/>
    </w:pPr>
    <w:rPr>
      <w:rFonts w:ascii="Arial" w:hAnsi="Arial"/>
      <w:sz w:val="20"/>
    </w:rPr>
  </w:style>
  <w:style w:type="paragraph" w:styleId="Kop8">
    <w:name w:val="heading 8"/>
    <w:basedOn w:val="Standaard"/>
    <w:next w:val="Standaard"/>
    <w:qFormat/>
    <w:rsid w:val="00461D0A"/>
    <w:pPr>
      <w:numPr>
        <w:ilvl w:val="7"/>
        <w:numId w:val="21"/>
      </w:numPr>
      <w:spacing w:before="240" w:after="60"/>
      <w:outlineLvl w:val="7"/>
    </w:pPr>
    <w:rPr>
      <w:rFonts w:ascii="Arial" w:hAnsi="Arial"/>
      <w:i/>
      <w:sz w:val="20"/>
    </w:rPr>
  </w:style>
  <w:style w:type="paragraph" w:styleId="Kop9">
    <w:name w:val="heading 9"/>
    <w:basedOn w:val="Standaard"/>
    <w:next w:val="Standaard"/>
    <w:qFormat/>
    <w:rsid w:val="00461D0A"/>
    <w:pPr>
      <w:numPr>
        <w:ilvl w:val="8"/>
        <w:numId w:val="2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Text">
    <w:name w:val="Table Text"/>
    <w:basedOn w:val="Standaard"/>
    <w:rsid w:val="004265ED"/>
    <w:pPr>
      <w:spacing w:before="20" w:after="20"/>
      <w:ind w:left="482"/>
    </w:pPr>
    <w:rPr>
      <w:rFonts w:ascii="Verdana" w:hAnsi="Verdana"/>
      <w:sz w:val="18"/>
    </w:rPr>
  </w:style>
  <w:style w:type="paragraph" w:customStyle="1" w:styleId="Text2">
    <w:name w:val="Text 2"/>
    <w:basedOn w:val="Standaard"/>
    <w:rsid w:val="00461D0A"/>
    <w:pPr>
      <w:tabs>
        <w:tab w:val="left" w:pos="2302"/>
      </w:tabs>
      <w:ind w:left="1202"/>
    </w:pPr>
  </w:style>
  <w:style w:type="paragraph" w:customStyle="1" w:styleId="Text3">
    <w:name w:val="Text 3"/>
    <w:basedOn w:val="Standaard"/>
    <w:rsid w:val="00461D0A"/>
    <w:pPr>
      <w:tabs>
        <w:tab w:val="left" w:pos="2302"/>
      </w:tabs>
      <w:ind w:left="1202"/>
    </w:pPr>
  </w:style>
  <w:style w:type="paragraph" w:customStyle="1" w:styleId="Text4">
    <w:name w:val="Text 4"/>
    <w:basedOn w:val="Standaard"/>
    <w:rsid w:val="00461D0A"/>
    <w:pPr>
      <w:tabs>
        <w:tab w:val="left" w:pos="2302"/>
      </w:tabs>
      <w:ind w:left="1202"/>
    </w:pPr>
  </w:style>
  <w:style w:type="paragraph" w:customStyle="1" w:styleId="Address">
    <w:name w:val="Address"/>
    <w:basedOn w:val="Standaard"/>
    <w:rsid w:val="00461D0A"/>
    <w:pPr>
      <w:spacing w:after="0"/>
      <w:jc w:val="left"/>
    </w:pPr>
  </w:style>
  <w:style w:type="paragraph" w:customStyle="1" w:styleId="AddressTL">
    <w:name w:val="AddressTL"/>
    <w:basedOn w:val="Standaard"/>
    <w:next w:val="Standaard"/>
    <w:rsid w:val="00461D0A"/>
    <w:pPr>
      <w:spacing w:after="720"/>
      <w:jc w:val="left"/>
    </w:pPr>
  </w:style>
  <w:style w:type="paragraph" w:customStyle="1" w:styleId="AddressTR">
    <w:name w:val="AddressTR"/>
    <w:basedOn w:val="Standaard"/>
    <w:next w:val="Standaard"/>
    <w:rsid w:val="00461D0A"/>
    <w:pPr>
      <w:spacing w:after="720"/>
      <w:ind w:left="5103"/>
      <w:jc w:val="left"/>
    </w:pPr>
  </w:style>
  <w:style w:type="paragraph" w:styleId="Bloktekst">
    <w:name w:val="Block Text"/>
    <w:basedOn w:val="Standaard"/>
    <w:rsid w:val="00461D0A"/>
    <w:pPr>
      <w:spacing w:after="120"/>
      <w:ind w:left="1440" w:right="1440"/>
    </w:pPr>
  </w:style>
  <w:style w:type="paragraph" w:styleId="Plattetekst">
    <w:name w:val="Body Text"/>
    <w:link w:val="PlattetekstChar"/>
    <w:qFormat/>
    <w:rsid w:val="008F5DE4"/>
    <w:pPr>
      <w:spacing w:after="120"/>
      <w:jc w:val="both"/>
    </w:pPr>
    <w:rPr>
      <w:rFonts w:ascii="Verdana" w:hAnsi="Verdana"/>
      <w:lang w:val="en-GB" w:eastAsia="en-US"/>
    </w:rPr>
  </w:style>
  <w:style w:type="paragraph" w:styleId="Plattetekst2">
    <w:name w:val="Body Text 2"/>
    <w:basedOn w:val="Standaard"/>
    <w:rsid w:val="00461D0A"/>
    <w:pPr>
      <w:spacing w:after="120" w:line="480" w:lineRule="auto"/>
    </w:pPr>
  </w:style>
  <w:style w:type="paragraph" w:styleId="Plattetekst3">
    <w:name w:val="Body Text 3"/>
    <w:basedOn w:val="Standaard"/>
    <w:rsid w:val="00461D0A"/>
    <w:pPr>
      <w:spacing w:after="120"/>
    </w:pPr>
    <w:rPr>
      <w:sz w:val="16"/>
    </w:rPr>
  </w:style>
  <w:style w:type="paragraph" w:styleId="Platteteksteersteinspringing">
    <w:name w:val="Body Text First Indent"/>
    <w:basedOn w:val="Plattetekst"/>
    <w:rsid w:val="00461D0A"/>
    <w:pPr>
      <w:ind w:firstLine="210"/>
    </w:pPr>
  </w:style>
  <w:style w:type="paragraph" w:styleId="Plattetekstinspringen">
    <w:name w:val="Body Text Indent"/>
    <w:basedOn w:val="Standaard"/>
    <w:rsid w:val="00461D0A"/>
    <w:pPr>
      <w:spacing w:after="120"/>
      <w:ind w:left="283"/>
    </w:pPr>
  </w:style>
  <w:style w:type="paragraph" w:styleId="Platteteksteersteinspringing2">
    <w:name w:val="Body Text First Indent 2"/>
    <w:basedOn w:val="Plattetekstinspringen"/>
    <w:rsid w:val="00461D0A"/>
    <w:pPr>
      <w:ind w:firstLine="210"/>
    </w:pPr>
  </w:style>
  <w:style w:type="paragraph" w:styleId="Plattetekstinspringen2">
    <w:name w:val="Body Text Indent 2"/>
    <w:basedOn w:val="Standaard"/>
    <w:rsid w:val="00461D0A"/>
    <w:pPr>
      <w:spacing w:after="120" w:line="480" w:lineRule="auto"/>
      <w:ind w:left="283"/>
    </w:pPr>
  </w:style>
  <w:style w:type="paragraph" w:styleId="Plattetekstinspringen3">
    <w:name w:val="Body Text Indent 3"/>
    <w:basedOn w:val="Standaard"/>
    <w:rsid w:val="00461D0A"/>
    <w:pPr>
      <w:spacing w:after="120"/>
      <w:ind w:left="283"/>
    </w:pPr>
    <w:rPr>
      <w:sz w:val="16"/>
    </w:rPr>
  </w:style>
  <w:style w:type="paragraph" w:styleId="Bijschrift">
    <w:name w:val="caption"/>
    <w:basedOn w:val="Standaard"/>
    <w:next w:val="Standaard"/>
    <w:qFormat/>
    <w:rsid w:val="000F312E"/>
    <w:pPr>
      <w:numPr>
        <w:numId w:val="23"/>
      </w:numPr>
      <w:shd w:val="clear" w:color="auto" w:fill="002395"/>
      <w:spacing w:after="60"/>
      <w:jc w:val="left"/>
    </w:pPr>
    <w:rPr>
      <w:rFonts w:ascii="Verdana" w:eastAsia="Verdana" w:hAnsi="Verdana"/>
      <w:b/>
      <w:sz w:val="20"/>
    </w:rPr>
  </w:style>
  <w:style w:type="paragraph" w:customStyle="1" w:styleId="ChapterTitle">
    <w:name w:val="ChapterTitle"/>
    <w:basedOn w:val="Standaard"/>
    <w:next w:val="SectionTitle"/>
    <w:rsid w:val="00461D0A"/>
    <w:pPr>
      <w:keepNext/>
      <w:spacing w:after="480"/>
      <w:jc w:val="center"/>
    </w:pPr>
    <w:rPr>
      <w:b/>
      <w:sz w:val="32"/>
    </w:rPr>
  </w:style>
  <w:style w:type="paragraph" w:customStyle="1" w:styleId="SectionTitle">
    <w:name w:val="SectionTitle"/>
    <w:basedOn w:val="Standaard"/>
    <w:next w:val="Kop1"/>
    <w:rsid w:val="00461D0A"/>
    <w:pPr>
      <w:keepNext/>
      <w:spacing w:after="480"/>
      <w:jc w:val="center"/>
    </w:pPr>
    <w:rPr>
      <w:b/>
      <w:smallCaps/>
      <w:sz w:val="28"/>
    </w:rPr>
  </w:style>
  <w:style w:type="paragraph" w:styleId="Afsluiting">
    <w:name w:val="Closing"/>
    <w:basedOn w:val="Standaard"/>
    <w:rsid w:val="00461D0A"/>
    <w:pPr>
      <w:ind w:left="4252"/>
    </w:pPr>
  </w:style>
  <w:style w:type="paragraph" w:styleId="Tekstopmerking">
    <w:name w:val="annotation text"/>
    <w:basedOn w:val="Standaard"/>
    <w:link w:val="TekstopmerkingChar"/>
    <w:uiPriority w:val="99"/>
    <w:rsid w:val="00461D0A"/>
    <w:rPr>
      <w:sz w:val="20"/>
    </w:rPr>
  </w:style>
  <w:style w:type="paragraph" w:styleId="Datum">
    <w:name w:val="Date"/>
    <w:basedOn w:val="Standaard"/>
    <w:next w:val="References"/>
    <w:rsid w:val="00461D0A"/>
    <w:pPr>
      <w:spacing w:after="0"/>
      <w:ind w:left="5103" w:right="-567"/>
      <w:jc w:val="left"/>
    </w:pPr>
  </w:style>
  <w:style w:type="paragraph" w:customStyle="1" w:styleId="References">
    <w:name w:val="References"/>
    <w:basedOn w:val="Standaard"/>
    <w:next w:val="AddressTR"/>
    <w:rsid w:val="00461D0A"/>
    <w:pPr>
      <w:ind w:left="5103"/>
      <w:jc w:val="left"/>
    </w:pPr>
    <w:rPr>
      <w:sz w:val="20"/>
    </w:rPr>
  </w:style>
  <w:style w:type="paragraph" w:styleId="Documentstructuur">
    <w:name w:val="Document Map"/>
    <w:basedOn w:val="Standaard"/>
    <w:semiHidden/>
    <w:rsid w:val="00461D0A"/>
    <w:pPr>
      <w:shd w:val="clear" w:color="auto" w:fill="000080"/>
    </w:pPr>
    <w:rPr>
      <w:rFonts w:ascii="Tahoma" w:hAnsi="Tahoma"/>
    </w:rPr>
  </w:style>
  <w:style w:type="paragraph" w:customStyle="1" w:styleId="DoubSign">
    <w:name w:val="DoubSign"/>
    <w:basedOn w:val="Standaard"/>
    <w:next w:val="Enclosures"/>
    <w:rsid w:val="00461D0A"/>
    <w:pPr>
      <w:tabs>
        <w:tab w:val="left" w:pos="5103"/>
      </w:tabs>
      <w:spacing w:before="1200" w:after="0"/>
      <w:jc w:val="left"/>
    </w:pPr>
  </w:style>
  <w:style w:type="paragraph" w:customStyle="1" w:styleId="Enclosures">
    <w:name w:val="Enclosures"/>
    <w:basedOn w:val="Standaard"/>
    <w:rsid w:val="00461D0A"/>
    <w:pPr>
      <w:keepNext/>
      <w:keepLines/>
      <w:tabs>
        <w:tab w:val="left" w:pos="5642"/>
      </w:tabs>
      <w:spacing w:before="480" w:after="0"/>
      <w:ind w:left="1191" w:hanging="1191"/>
      <w:jc w:val="left"/>
    </w:pPr>
  </w:style>
  <w:style w:type="paragraph" w:styleId="Eindnoottekst">
    <w:name w:val="endnote text"/>
    <w:basedOn w:val="Standaard"/>
    <w:semiHidden/>
    <w:rsid w:val="00461D0A"/>
    <w:rPr>
      <w:sz w:val="20"/>
    </w:rPr>
  </w:style>
  <w:style w:type="paragraph" w:styleId="Adresenvelop">
    <w:name w:val="envelope address"/>
    <w:basedOn w:val="Standaard"/>
    <w:rsid w:val="00461D0A"/>
    <w:pPr>
      <w:framePr w:w="7920" w:h="1980" w:hRule="exact" w:hSpace="180" w:wrap="auto" w:hAnchor="page" w:xAlign="center" w:yAlign="bottom"/>
      <w:spacing w:after="0"/>
    </w:pPr>
  </w:style>
  <w:style w:type="paragraph" w:styleId="Afzender">
    <w:name w:val="envelope return"/>
    <w:basedOn w:val="Standaard"/>
    <w:rsid w:val="00461D0A"/>
    <w:pPr>
      <w:spacing w:after="0"/>
    </w:pPr>
    <w:rPr>
      <w:sz w:val="20"/>
    </w:rPr>
  </w:style>
  <w:style w:type="paragraph" w:styleId="Voettekst">
    <w:name w:val="footer"/>
    <w:basedOn w:val="Standaard"/>
    <w:link w:val="VoettekstChar"/>
    <w:uiPriority w:val="99"/>
    <w:rsid w:val="00461D0A"/>
    <w:pPr>
      <w:spacing w:after="0"/>
      <w:ind w:right="-567"/>
      <w:jc w:val="left"/>
    </w:pPr>
    <w:rPr>
      <w:rFonts w:ascii="Arial" w:hAnsi="Arial"/>
      <w:sz w:val="16"/>
    </w:rPr>
  </w:style>
  <w:style w:type="paragraph" w:styleId="Voetnoottekst">
    <w:name w:val="footnote text"/>
    <w:aliases w:val="Tekst przypisu,Tekst przypisu Znak Znak Znak Znak,Tekst przypisu Znak Znak Znak Znak Znak,Tekst przypisu Znak Znak Znak Znak Znak Znak Znak,Tekst przypisu Znak Znak Znak Znak Znak Znak Znak Znak Zn,Text poznámky pod čiarou 007,C,footnote,f"/>
    <w:basedOn w:val="Standaard"/>
    <w:link w:val="VoetnoottekstChar"/>
    <w:autoRedefine/>
    <w:qFormat/>
    <w:rsid w:val="00110B46"/>
    <w:pPr>
      <w:spacing w:before="40" w:after="40"/>
      <w:jc w:val="left"/>
    </w:pPr>
    <w:rPr>
      <w:rFonts w:ascii="Verdana" w:hAnsi="Verdana"/>
      <w:sz w:val="16"/>
      <w:szCs w:val="18"/>
    </w:rPr>
  </w:style>
  <w:style w:type="paragraph" w:styleId="Koptekst">
    <w:name w:val="header"/>
    <w:basedOn w:val="Standaard"/>
    <w:link w:val="KoptekstChar"/>
    <w:uiPriority w:val="99"/>
    <w:rsid w:val="00461D0A"/>
    <w:pPr>
      <w:tabs>
        <w:tab w:val="center" w:pos="4153"/>
        <w:tab w:val="right" w:pos="8306"/>
      </w:tabs>
    </w:pPr>
  </w:style>
  <w:style w:type="paragraph" w:styleId="Index1">
    <w:name w:val="index 1"/>
    <w:basedOn w:val="Standaard"/>
    <w:next w:val="Standaard"/>
    <w:autoRedefine/>
    <w:semiHidden/>
    <w:rsid w:val="00461D0A"/>
    <w:pPr>
      <w:ind w:left="240" w:hanging="240"/>
    </w:pPr>
  </w:style>
  <w:style w:type="paragraph" w:styleId="Index2">
    <w:name w:val="index 2"/>
    <w:basedOn w:val="Standaard"/>
    <w:next w:val="Standaard"/>
    <w:autoRedefine/>
    <w:semiHidden/>
    <w:rsid w:val="00461D0A"/>
    <w:pPr>
      <w:ind w:left="480" w:hanging="240"/>
    </w:pPr>
  </w:style>
  <w:style w:type="paragraph" w:styleId="Index3">
    <w:name w:val="index 3"/>
    <w:basedOn w:val="Standaard"/>
    <w:next w:val="Standaard"/>
    <w:autoRedefine/>
    <w:semiHidden/>
    <w:rsid w:val="00461D0A"/>
    <w:pPr>
      <w:ind w:left="720" w:hanging="240"/>
    </w:pPr>
  </w:style>
  <w:style w:type="paragraph" w:styleId="Index4">
    <w:name w:val="index 4"/>
    <w:basedOn w:val="Standaard"/>
    <w:next w:val="Standaard"/>
    <w:autoRedefine/>
    <w:semiHidden/>
    <w:rsid w:val="00461D0A"/>
    <w:pPr>
      <w:ind w:left="960" w:hanging="240"/>
    </w:pPr>
  </w:style>
  <w:style w:type="paragraph" w:styleId="Index5">
    <w:name w:val="index 5"/>
    <w:basedOn w:val="Standaard"/>
    <w:next w:val="Standaard"/>
    <w:autoRedefine/>
    <w:semiHidden/>
    <w:rsid w:val="00461D0A"/>
    <w:pPr>
      <w:ind w:left="1200" w:hanging="240"/>
    </w:pPr>
  </w:style>
  <w:style w:type="paragraph" w:styleId="Index6">
    <w:name w:val="index 6"/>
    <w:basedOn w:val="Standaard"/>
    <w:next w:val="Standaard"/>
    <w:autoRedefine/>
    <w:semiHidden/>
    <w:rsid w:val="00461D0A"/>
    <w:pPr>
      <w:ind w:left="1440" w:hanging="240"/>
    </w:pPr>
  </w:style>
  <w:style w:type="paragraph" w:styleId="Index7">
    <w:name w:val="index 7"/>
    <w:basedOn w:val="Standaard"/>
    <w:next w:val="Standaard"/>
    <w:autoRedefine/>
    <w:semiHidden/>
    <w:rsid w:val="00461D0A"/>
    <w:pPr>
      <w:ind w:left="1680" w:hanging="240"/>
    </w:pPr>
  </w:style>
  <w:style w:type="paragraph" w:styleId="Index8">
    <w:name w:val="index 8"/>
    <w:basedOn w:val="Standaard"/>
    <w:next w:val="Standaard"/>
    <w:autoRedefine/>
    <w:semiHidden/>
    <w:rsid w:val="00461D0A"/>
    <w:pPr>
      <w:ind w:left="1920" w:hanging="240"/>
    </w:pPr>
  </w:style>
  <w:style w:type="paragraph" w:styleId="Index9">
    <w:name w:val="index 9"/>
    <w:basedOn w:val="Standaard"/>
    <w:next w:val="Standaard"/>
    <w:autoRedefine/>
    <w:semiHidden/>
    <w:rsid w:val="00461D0A"/>
    <w:pPr>
      <w:ind w:left="2160" w:hanging="240"/>
    </w:pPr>
  </w:style>
  <w:style w:type="paragraph" w:styleId="Indexkop">
    <w:name w:val="index heading"/>
    <w:basedOn w:val="Standaard"/>
    <w:next w:val="Index1"/>
    <w:semiHidden/>
    <w:rsid w:val="00461D0A"/>
    <w:rPr>
      <w:rFonts w:ascii="Arial" w:hAnsi="Arial"/>
      <w:b/>
    </w:rPr>
  </w:style>
  <w:style w:type="paragraph" w:styleId="Lijst">
    <w:name w:val="List"/>
    <w:basedOn w:val="Standaard"/>
    <w:rsid w:val="00461D0A"/>
    <w:pPr>
      <w:ind w:left="283" w:hanging="283"/>
    </w:pPr>
  </w:style>
  <w:style w:type="paragraph" w:styleId="Lijst2">
    <w:name w:val="List 2"/>
    <w:basedOn w:val="Standaard"/>
    <w:rsid w:val="00461D0A"/>
    <w:pPr>
      <w:ind w:left="566" w:hanging="283"/>
    </w:pPr>
  </w:style>
  <w:style w:type="paragraph" w:styleId="Lijst3">
    <w:name w:val="List 3"/>
    <w:basedOn w:val="Standaard"/>
    <w:rsid w:val="00461D0A"/>
    <w:pPr>
      <w:ind w:left="849" w:hanging="283"/>
    </w:pPr>
  </w:style>
  <w:style w:type="paragraph" w:styleId="Lijst4">
    <w:name w:val="List 4"/>
    <w:basedOn w:val="Standaard"/>
    <w:rsid w:val="00461D0A"/>
    <w:pPr>
      <w:ind w:left="1132" w:hanging="283"/>
    </w:pPr>
  </w:style>
  <w:style w:type="paragraph" w:styleId="Lijst5">
    <w:name w:val="List 5"/>
    <w:basedOn w:val="Standaard"/>
    <w:rsid w:val="00461D0A"/>
    <w:pPr>
      <w:ind w:left="1415" w:hanging="283"/>
    </w:pPr>
  </w:style>
  <w:style w:type="paragraph" w:styleId="Lijstopsomteken">
    <w:name w:val="List Bullet"/>
    <w:basedOn w:val="Standaard"/>
    <w:rsid w:val="00577EC6"/>
    <w:pPr>
      <w:numPr>
        <w:numId w:val="3"/>
      </w:numPr>
    </w:pPr>
  </w:style>
  <w:style w:type="paragraph" w:styleId="Lijstopsomteken2">
    <w:name w:val="List Bullet 2"/>
    <w:basedOn w:val="Text2"/>
    <w:link w:val="Lijstopsomteken2Char"/>
    <w:rsid w:val="00577EC6"/>
    <w:pPr>
      <w:numPr>
        <w:numId w:val="5"/>
      </w:numPr>
      <w:tabs>
        <w:tab w:val="clear" w:pos="2302"/>
      </w:tabs>
    </w:pPr>
  </w:style>
  <w:style w:type="paragraph" w:styleId="Lijstopsomteken3">
    <w:name w:val="List Bullet 3"/>
    <w:basedOn w:val="Text3"/>
    <w:rsid w:val="00577EC6"/>
    <w:pPr>
      <w:numPr>
        <w:numId w:val="6"/>
      </w:numPr>
      <w:tabs>
        <w:tab w:val="clear" w:pos="2302"/>
      </w:tabs>
    </w:pPr>
  </w:style>
  <w:style w:type="paragraph" w:styleId="Lijstopsomteken4">
    <w:name w:val="List Bullet 4"/>
    <w:basedOn w:val="Text4"/>
    <w:rsid w:val="00577EC6"/>
    <w:pPr>
      <w:numPr>
        <w:numId w:val="7"/>
      </w:numPr>
      <w:tabs>
        <w:tab w:val="clear" w:pos="2302"/>
      </w:tabs>
    </w:pPr>
  </w:style>
  <w:style w:type="paragraph" w:styleId="Lijstopsomteken5">
    <w:name w:val="List Bullet 5"/>
    <w:basedOn w:val="Standaard"/>
    <w:autoRedefine/>
    <w:rsid w:val="00577EC6"/>
    <w:pPr>
      <w:numPr>
        <w:numId w:val="1"/>
      </w:numPr>
    </w:pPr>
  </w:style>
  <w:style w:type="paragraph" w:styleId="Lijstvoortzetting">
    <w:name w:val="List Continue"/>
    <w:basedOn w:val="Standaard"/>
    <w:rsid w:val="00461D0A"/>
    <w:pPr>
      <w:spacing w:after="120"/>
      <w:ind w:left="283"/>
    </w:pPr>
  </w:style>
  <w:style w:type="paragraph" w:styleId="Lijstvoortzetting2">
    <w:name w:val="List Continue 2"/>
    <w:basedOn w:val="Standaard"/>
    <w:rsid w:val="00461D0A"/>
    <w:pPr>
      <w:spacing w:after="120"/>
      <w:ind w:left="566"/>
    </w:pPr>
  </w:style>
  <w:style w:type="paragraph" w:styleId="Lijstvoortzetting3">
    <w:name w:val="List Continue 3"/>
    <w:basedOn w:val="Standaard"/>
    <w:rsid w:val="00461D0A"/>
    <w:pPr>
      <w:spacing w:after="120"/>
      <w:ind w:left="849"/>
    </w:pPr>
  </w:style>
  <w:style w:type="paragraph" w:styleId="Lijstvoortzetting4">
    <w:name w:val="List Continue 4"/>
    <w:basedOn w:val="Standaard"/>
    <w:rsid w:val="00461D0A"/>
    <w:pPr>
      <w:spacing w:after="120"/>
      <w:ind w:left="1132"/>
    </w:pPr>
  </w:style>
  <w:style w:type="paragraph" w:styleId="Lijstvoortzetting5">
    <w:name w:val="List Continue 5"/>
    <w:basedOn w:val="Standaard"/>
    <w:rsid w:val="00461D0A"/>
    <w:pPr>
      <w:spacing w:after="120"/>
      <w:ind w:left="1415"/>
    </w:pPr>
  </w:style>
  <w:style w:type="paragraph" w:styleId="Lijstnummering">
    <w:name w:val="List Number"/>
    <w:basedOn w:val="Standaard"/>
    <w:rsid w:val="00577EC6"/>
    <w:pPr>
      <w:numPr>
        <w:numId w:val="13"/>
      </w:numPr>
    </w:pPr>
  </w:style>
  <w:style w:type="paragraph" w:styleId="Lijstnummering2">
    <w:name w:val="List Number 2"/>
    <w:basedOn w:val="Text2"/>
    <w:rsid w:val="00577EC6"/>
    <w:pPr>
      <w:numPr>
        <w:numId w:val="15"/>
      </w:numPr>
      <w:tabs>
        <w:tab w:val="clear" w:pos="2302"/>
      </w:tabs>
    </w:pPr>
  </w:style>
  <w:style w:type="paragraph" w:styleId="Lijstnummering3">
    <w:name w:val="List Number 3"/>
    <w:basedOn w:val="Text3"/>
    <w:rsid w:val="00577EC6"/>
    <w:pPr>
      <w:numPr>
        <w:numId w:val="16"/>
      </w:numPr>
      <w:tabs>
        <w:tab w:val="clear" w:pos="2302"/>
      </w:tabs>
    </w:pPr>
  </w:style>
  <w:style w:type="paragraph" w:styleId="Lijstnummering4">
    <w:name w:val="List Number 4"/>
    <w:basedOn w:val="Text4"/>
    <w:rsid w:val="00577EC6"/>
    <w:pPr>
      <w:numPr>
        <w:numId w:val="17"/>
      </w:numPr>
      <w:tabs>
        <w:tab w:val="clear" w:pos="2302"/>
      </w:tabs>
    </w:pPr>
  </w:style>
  <w:style w:type="paragraph" w:styleId="Lijstnummering5">
    <w:name w:val="List Number 5"/>
    <w:basedOn w:val="Standaard"/>
    <w:rsid w:val="00577EC6"/>
    <w:pPr>
      <w:numPr>
        <w:numId w:val="2"/>
      </w:numPr>
    </w:pPr>
  </w:style>
  <w:style w:type="paragraph" w:styleId="Macrotekst">
    <w:name w:val="macro"/>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rsid w:val="00461D0A"/>
    <w:pPr>
      <w:ind w:left="720"/>
    </w:pPr>
  </w:style>
  <w:style w:type="paragraph" w:customStyle="1" w:styleId="NoteHeading1">
    <w:name w:val="Note Heading1"/>
    <w:basedOn w:val="Standaard"/>
    <w:next w:val="Standaard"/>
    <w:rsid w:val="00461D0A"/>
  </w:style>
  <w:style w:type="paragraph" w:customStyle="1" w:styleId="NoteHead">
    <w:name w:val="NoteHead"/>
    <w:basedOn w:val="Standaard"/>
    <w:next w:val="Subject"/>
    <w:rsid w:val="00461D0A"/>
    <w:pPr>
      <w:spacing w:before="720" w:after="720"/>
      <w:jc w:val="center"/>
    </w:pPr>
    <w:rPr>
      <w:b/>
      <w:smallCaps/>
    </w:rPr>
  </w:style>
  <w:style w:type="paragraph" w:customStyle="1" w:styleId="Subject">
    <w:name w:val="Subject"/>
    <w:basedOn w:val="Standaard"/>
    <w:next w:val="Standaard"/>
    <w:rsid w:val="00461D0A"/>
    <w:pPr>
      <w:spacing w:after="480"/>
      <w:ind w:left="1531" w:hanging="1531"/>
      <w:jc w:val="left"/>
    </w:pPr>
    <w:rPr>
      <w:b/>
    </w:rPr>
  </w:style>
  <w:style w:type="paragraph" w:customStyle="1" w:styleId="NoteList">
    <w:name w:val="NoteList"/>
    <w:basedOn w:val="Standaard"/>
    <w:next w:val="Subject"/>
    <w:rsid w:val="00461D0A"/>
    <w:pPr>
      <w:tabs>
        <w:tab w:val="left" w:pos="5823"/>
      </w:tabs>
      <w:spacing w:before="720" w:after="720"/>
      <w:ind w:left="5104" w:hanging="3119"/>
      <w:jc w:val="left"/>
    </w:pPr>
    <w:rPr>
      <w:b/>
      <w:smallCaps/>
    </w:rPr>
  </w:style>
  <w:style w:type="paragraph" w:customStyle="1" w:styleId="NumPar1">
    <w:name w:val="NumPar 1"/>
    <w:basedOn w:val="Kop1"/>
    <w:next w:val="TableText"/>
    <w:rsid w:val="00577EC6"/>
    <w:pPr>
      <w:spacing w:before="0"/>
      <w:outlineLvl w:val="9"/>
    </w:pPr>
    <w:rPr>
      <w:b w:val="0"/>
      <w:smallCaps/>
    </w:rPr>
  </w:style>
  <w:style w:type="paragraph" w:customStyle="1" w:styleId="NumPar2">
    <w:name w:val="NumPar 2"/>
    <w:basedOn w:val="Kop2"/>
    <w:next w:val="Text2"/>
    <w:rsid w:val="00577EC6"/>
    <w:pPr>
      <w:outlineLvl w:val="9"/>
    </w:pPr>
    <w:rPr>
      <w:b w:val="0"/>
    </w:rPr>
  </w:style>
  <w:style w:type="paragraph" w:customStyle="1" w:styleId="NumPar3">
    <w:name w:val="NumPar 3"/>
    <w:basedOn w:val="Kop3"/>
    <w:next w:val="Text3"/>
    <w:rsid w:val="00577EC6"/>
    <w:pPr>
      <w:outlineLvl w:val="9"/>
    </w:pPr>
    <w:rPr>
      <w:i/>
    </w:rPr>
  </w:style>
  <w:style w:type="paragraph" w:customStyle="1" w:styleId="NumPar4">
    <w:name w:val="NumPar 4"/>
    <w:basedOn w:val="Kop4"/>
    <w:next w:val="Text4"/>
    <w:rsid w:val="00577EC6"/>
    <w:pPr>
      <w:outlineLvl w:val="9"/>
    </w:pPr>
  </w:style>
  <w:style w:type="paragraph" w:customStyle="1" w:styleId="PartTitle">
    <w:name w:val="PartTitle"/>
    <w:basedOn w:val="Standaard"/>
    <w:next w:val="ChapterTitle"/>
    <w:rsid w:val="00461D0A"/>
    <w:pPr>
      <w:keepNext/>
      <w:pageBreakBefore/>
      <w:spacing w:after="480"/>
      <w:jc w:val="center"/>
    </w:pPr>
    <w:rPr>
      <w:b/>
      <w:sz w:val="36"/>
    </w:rPr>
  </w:style>
  <w:style w:type="paragraph" w:styleId="Tekstzonderopmaak">
    <w:name w:val="Plain Text"/>
    <w:basedOn w:val="Standaard"/>
    <w:link w:val="TekstzonderopmaakChar"/>
    <w:uiPriority w:val="99"/>
    <w:rsid w:val="00461D0A"/>
    <w:rPr>
      <w:rFonts w:ascii="Courier New" w:hAnsi="Courier New"/>
      <w:sz w:val="20"/>
    </w:rPr>
  </w:style>
  <w:style w:type="paragraph" w:styleId="Aanhef">
    <w:name w:val="Salutation"/>
    <w:basedOn w:val="Standaard"/>
    <w:next w:val="Standaard"/>
    <w:rsid w:val="00461D0A"/>
  </w:style>
  <w:style w:type="paragraph" w:styleId="Handtekening">
    <w:name w:val="Signature"/>
    <w:basedOn w:val="Standaard"/>
    <w:next w:val="Enclosures"/>
    <w:rsid w:val="00461D0A"/>
    <w:pPr>
      <w:tabs>
        <w:tab w:val="left" w:pos="5103"/>
      </w:tabs>
      <w:spacing w:before="1200" w:after="0"/>
      <w:ind w:left="5103"/>
      <w:jc w:val="center"/>
    </w:pPr>
  </w:style>
  <w:style w:type="paragraph" w:styleId="Ondertitel">
    <w:name w:val="Subtitle"/>
    <w:basedOn w:val="Standaard"/>
    <w:link w:val="OndertitelChar"/>
    <w:qFormat/>
    <w:rsid w:val="00551D1E"/>
    <w:pPr>
      <w:spacing w:after="60"/>
      <w:jc w:val="center"/>
      <w:outlineLvl w:val="1"/>
    </w:pPr>
    <w:rPr>
      <w:rFonts w:ascii="Verdana" w:hAnsi="Verdana"/>
      <w:b/>
      <w:sz w:val="32"/>
      <w:szCs w:val="32"/>
    </w:rPr>
  </w:style>
  <w:style w:type="paragraph" w:customStyle="1" w:styleId="TOC">
    <w:name w:val="TOC"/>
    <w:basedOn w:val="heading20"/>
    <w:rsid w:val="003E6974"/>
    <w:rPr>
      <w:sz w:val="22"/>
      <w:szCs w:val="22"/>
    </w:rPr>
  </w:style>
  <w:style w:type="paragraph" w:styleId="Bronvermelding">
    <w:name w:val="table of authorities"/>
    <w:basedOn w:val="Standaard"/>
    <w:next w:val="Standaard"/>
    <w:semiHidden/>
    <w:rsid w:val="00461D0A"/>
    <w:pPr>
      <w:ind w:left="240" w:hanging="240"/>
    </w:pPr>
  </w:style>
  <w:style w:type="paragraph" w:styleId="Lijstmetafbeeldingen">
    <w:name w:val="table of figures"/>
    <w:basedOn w:val="Standaard"/>
    <w:next w:val="Standaard"/>
    <w:semiHidden/>
    <w:rsid w:val="00461D0A"/>
    <w:pPr>
      <w:ind w:left="480" w:hanging="480"/>
    </w:pPr>
  </w:style>
  <w:style w:type="paragraph" w:styleId="Titel">
    <w:name w:val="Title"/>
    <w:basedOn w:val="Standaard"/>
    <w:next w:val="Standaard"/>
    <w:link w:val="TitelChar"/>
    <w:qFormat/>
    <w:rsid w:val="00551D1E"/>
    <w:pPr>
      <w:spacing w:after="480"/>
      <w:jc w:val="center"/>
    </w:pPr>
    <w:rPr>
      <w:rFonts w:ascii="Verdana" w:hAnsi="Verdana"/>
      <w:b/>
      <w:kern w:val="28"/>
      <w:sz w:val="52"/>
      <w:szCs w:val="52"/>
    </w:rPr>
  </w:style>
  <w:style w:type="paragraph" w:styleId="Kopbronvermelding">
    <w:name w:val="toa heading"/>
    <w:basedOn w:val="Standaard"/>
    <w:next w:val="Standaard"/>
    <w:semiHidden/>
    <w:rsid w:val="00461D0A"/>
    <w:pPr>
      <w:spacing w:before="120"/>
    </w:pPr>
    <w:rPr>
      <w:rFonts w:ascii="Arial" w:hAnsi="Arial"/>
      <w:b/>
    </w:rPr>
  </w:style>
  <w:style w:type="paragraph" w:styleId="Inhopg1">
    <w:name w:val="toc 1"/>
    <w:basedOn w:val="Standaard"/>
    <w:next w:val="Standaard"/>
    <w:uiPriority w:val="39"/>
    <w:qFormat/>
    <w:rsid w:val="00551D1E"/>
    <w:pPr>
      <w:tabs>
        <w:tab w:val="right" w:leader="dot" w:pos="8640"/>
      </w:tabs>
      <w:spacing w:before="120" w:after="120"/>
      <w:ind w:left="284" w:right="720" w:hanging="284"/>
    </w:pPr>
    <w:rPr>
      <w:rFonts w:ascii="Verdana" w:hAnsi="Verdana"/>
      <w:caps/>
      <w:noProof/>
      <w:sz w:val="18"/>
    </w:rPr>
  </w:style>
  <w:style w:type="paragraph" w:styleId="Inhopg2">
    <w:name w:val="toc 2"/>
    <w:basedOn w:val="Standaard"/>
    <w:next w:val="Standaard"/>
    <w:uiPriority w:val="39"/>
    <w:qFormat/>
    <w:rsid w:val="00551D1E"/>
    <w:pPr>
      <w:tabs>
        <w:tab w:val="left" w:pos="709"/>
        <w:tab w:val="right" w:leader="dot" w:pos="8640"/>
      </w:tabs>
      <w:spacing w:before="60" w:after="60"/>
      <w:ind w:left="709" w:right="720" w:hanging="425"/>
    </w:pPr>
    <w:rPr>
      <w:rFonts w:ascii="Verdana" w:hAnsi="Verdana"/>
      <w:noProof/>
      <w:sz w:val="18"/>
    </w:rPr>
  </w:style>
  <w:style w:type="paragraph" w:styleId="Inhopg3">
    <w:name w:val="toc 3"/>
    <w:basedOn w:val="Standaard"/>
    <w:next w:val="Standaard"/>
    <w:uiPriority w:val="39"/>
    <w:qFormat/>
    <w:rsid w:val="00551D1E"/>
    <w:pPr>
      <w:tabs>
        <w:tab w:val="left" w:pos="1344"/>
        <w:tab w:val="right" w:leader="dot" w:pos="8640"/>
      </w:tabs>
      <w:spacing w:before="60" w:after="60"/>
      <w:ind w:left="1134" w:right="720" w:hanging="414"/>
    </w:pPr>
    <w:rPr>
      <w:rFonts w:ascii="Verdana" w:hAnsi="Verdana"/>
      <w:noProof/>
      <w:sz w:val="18"/>
      <w:szCs w:val="18"/>
    </w:rPr>
  </w:style>
  <w:style w:type="paragraph" w:styleId="Inhopg4">
    <w:name w:val="toc 4"/>
    <w:basedOn w:val="Standaard"/>
    <w:next w:val="Standaard"/>
    <w:semiHidden/>
    <w:rsid w:val="00461D0A"/>
    <w:pPr>
      <w:tabs>
        <w:tab w:val="right" w:leader="dot" w:pos="8641"/>
      </w:tabs>
      <w:spacing w:before="60" w:after="60"/>
      <w:ind w:left="2880" w:right="720" w:hanging="964"/>
    </w:pPr>
  </w:style>
  <w:style w:type="paragraph" w:styleId="Inhopg5">
    <w:name w:val="toc 5"/>
    <w:basedOn w:val="Standaard"/>
    <w:next w:val="Standaard"/>
    <w:semiHidden/>
    <w:rsid w:val="00461D0A"/>
    <w:pPr>
      <w:tabs>
        <w:tab w:val="right" w:leader="dot" w:pos="8641"/>
      </w:tabs>
      <w:spacing w:before="240" w:after="120"/>
      <w:ind w:right="720"/>
    </w:pPr>
    <w:rPr>
      <w:caps/>
    </w:rPr>
  </w:style>
  <w:style w:type="paragraph" w:styleId="Inhopg6">
    <w:name w:val="toc 6"/>
    <w:basedOn w:val="Standaard"/>
    <w:next w:val="Standaard"/>
    <w:autoRedefine/>
    <w:semiHidden/>
    <w:rsid w:val="00461D0A"/>
    <w:pPr>
      <w:ind w:left="1200"/>
    </w:pPr>
  </w:style>
  <w:style w:type="paragraph" w:styleId="Inhopg7">
    <w:name w:val="toc 7"/>
    <w:basedOn w:val="Standaard"/>
    <w:next w:val="Standaard"/>
    <w:autoRedefine/>
    <w:semiHidden/>
    <w:rsid w:val="00461D0A"/>
    <w:pPr>
      <w:ind w:left="1440"/>
    </w:pPr>
  </w:style>
  <w:style w:type="paragraph" w:styleId="Inhopg8">
    <w:name w:val="toc 8"/>
    <w:basedOn w:val="Standaard"/>
    <w:next w:val="Standaard"/>
    <w:autoRedefine/>
    <w:semiHidden/>
    <w:rsid w:val="00461D0A"/>
    <w:pPr>
      <w:ind w:left="1680"/>
    </w:pPr>
  </w:style>
  <w:style w:type="paragraph" w:styleId="Inhopg9">
    <w:name w:val="toc 9"/>
    <w:basedOn w:val="Standaard"/>
    <w:next w:val="Standaard"/>
    <w:autoRedefine/>
    <w:semiHidden/>
    <w:rsid w:val="00461D0A"/>
    <w:pPr>
      <w:ind w:left="1920"/>
    </w:pPr>
  </w:style>
  <w:style w:type="paragraph" w:customStyle="1" w:styleId="YReferences">
    <w:name w:val="YReferences"/>
    <w:basedOn w:val="Standaard"/>
    <w:next w:val="Standaard"/>
    <w:rsid w:val="00461D0A"/>
    <w:pPr>
      <w:spacing w:after="480"/>
      <w:ind w:left="1531" w:hanging="1531"/>
    </w:pPr>
  </w:style>
  <w:style w:type="paragraph" w:customStyle="1" w:styleId="ListBullet1">
    <w:name w:val="List Bullet 1"/>
    <w:basedOn w:val="TableText"/>
    <w:rsid w:val="00577EC6"/>
    <w:pPr>
      <w:numPr>
        <w:numId w:val="4"/>
      </w:numPr>
    </w:pPr>
  </w:style>
  <w:style w:type="paragraph" w:customStyle="1" w:styleId="ListDash">
    <w:name w:val="List Dash"/>
    <w:basedOn w:val="Standaard"/>
    <w:rsid w:val="00577EC6"/>
    <w:pPr>
      <w:numPr>
        <w:numId w:val="8"/>
      </w:numPr>
    </w:pPr>
  </w:style>
  <w:style w:type="paragraph" w:customStyle="1" w:styleId="ListDash1">
    <w:name w:val="List Dash 1"/>
    <w:basedOn w:val="TableText"/>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Standaard"/>
    <w:rsid w:val="00577EC6"/>
    <w:pPr>
      <w:numPr>
        <w:ilvl w:val="1"/>
        <w:numId w:val="13"/>
      </w:numPr>
    </w:pPr>
  </w:style>
  <w:style w:type="paragraph" w:customStyle="1" w:styleId="ListNumberLevel3">
    <w:name w:val="List Number (Level 3)"/>
    <w:basedOn w:val="Standaard"/>
    <w:rsid w:val="00577EC6"/>
    <w:pPr>
      <w:numPr>
        <w:ilvl w:val="2"/>
        <w:numId w:val="13"/>
      </w:numPr>
    </w:pPr>
  </w:style>
  <w:style w:type="paragraph" w:customStyle="1" w:styleId="ListNumberLevel4">
    <w:name w:val="List Number (Level 4)"/>
    <w:basedOn w:val="Standaard"/>
    <w:rsid w:val="00577EC6"/>
    <w:pPr>
      <w:numPr>
        <w:ilvl w:val="3"/>
        <w:numId w:val="13"/>
      </w:numPr>
    </w:pPr>
  </w:style>
  <w:style w:type="paragraph" w:customStyle="1" w:styleId="ListNumber1">
    <w:name w:val="List Number 1"/>
    <w:basedOn w:val="TableText"/>
    <w:rsid w:val="00577EC6"/>
    <w:pPr>
      <w:numPr>
        <w:numId w:val="14"/>
      </w:numPr>
    </w:pPr>
  </w:style>
  <w:style w:type="paragraph" w:customStyle="1" w:styleId="ListNumber1Level2">
    <w:name w:val="List Number 1 (Level 2)"/>
    <w:basedOn w:val="TableText"/>
    <w:rsid w:val="00577EC6"/>
    <w:pPr>
      <w:numPr>
        <w:ilvl w:val="1"/>
        <w:numId w:val="14"/>
      </w:numPr>
    </w:pPr>
  </w:style>
  <w:style w:type="paragraph" w:customStyle="1" w:styleId="ListNumber1Level3">
    <w:name w:val="List Number 1 (Level 3)"/>
    <w:basedOn w:val="TableText"/>
    <w:rsid w:val="00577EC6"/>
    <w:pPr>
      <w:numPr>
        <w:ilvl w:val="2"/>
        <w:numId w:val="14"/>
      </w:numPr>
    </w:pPr>
  </w:style>
  <w:style w:type="paragraph" w:customStyle="1" w:styleId="ListNumber1Level4">
    <w:name w:val="List Number 1 (Level 4)"/>
    <w:basedOn w:val="TableText"/>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Standaard"/>
    <w:next w:val="Standaard"/>
    <w:rsid w:val="00461D0A"/>
    <w:pPr>
      <w:keepNext/>
      <w:spacing w:before="240"/>
      <w:jc w:val="center"/>
    </w:pPr>
    <w:rPr>
      <w:b/>
    </w:rPr>
  </w:style>
  <w:style w:type="paragraph" w:customStyle="1" w:styleId="Contact">
    <w:name w:val="Contact"/>
    <w:basedOn w:val="Standaard"/>
    <w:next w:val="Standaard"/>
    <w:rsid w:val="00461D0A"/>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Voetnootmarkering">
    <w:name w:val="footnote reference"/>
    <w:aliases w:val=" BVI fnr,-E Fußnotenzeichen,BVI fnr,E FNZ,EN Footnote Reference,Exposant 3 Point,Footnote,Footnote Reference Number,Footnote Reference Superscript,Footnote reference number,Footnote symbol,Footnote#,Ref,Times 10 Point,note TESI,SUPERS"/>
    <w:link w:val="FootnoteReferneceCarcter"/>
    <w:uiPriority w:val="99"/>
    <w:qFormat/>
    <w:rsid w:val="00CD08CF"/>
    <w:rPr>
      <w:vertAlign w:val="superscript"/>
    </w:rPr>
  </w:style>
  <w:style w:type="table" w:styleId="Kleurrijkraster-accent3">
    <w:name w:val="Colorful Grid Accent 3"/>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Courier New" w:hAnsi="Courier New"/>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semiHidden/>
    <w:rsid w:val="00E52A1D"/>
    <w:rPr>
      <w:rFonts w:ascii="Tahoma" w:hAnsi="Tahoma" w:cs="Tahoma"/>
      <w:sz w:val="16"/>
      <w:szCs w:val="16"/>
    </w:rPr>
  </w:style>
  <w:style w:type="paragraph" w:customStyle="1" w:styleId="DocumentTitle">
    <w:name w:val="Document Title"/>
    <w:basedOn w:val="Standaard"/>
    <w:link w:val="DocumentTitleChar"/>
    <w:rsid w:val="001E6AC6"/>
    <w:pPr>
      <w:jc w:val="center"/>
    </w:pPr>
    <w:rPr>
      <w:rFonts w:ascii="Verdana" w:hAnsi="Verdana"/>
      <w:b/>
      <w:sz w:val="52"/>
    </w:rPr>
  </w:style>
  <w:style w:type="paragraph" w:customStyle="1" w:styleId="Footerapproval">
    <w:name w:val="Footer approval"/>
    <w:basedOn w:val="Voettekst"/>
    <w:link w:val="ApprovalfooterChar"/>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Voettekst"/>
    <w:link w:val="FooterDateChar"/>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Voettekst"/>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rsid w:val="003C7A25"/>
    <w:rPr>
      <w:b w:val="0"/>
      <w:sz w:val="32"/>
      <w:szCs w:val="36"/>
    </w:rPr>
  </w:style>
  <w:style w:type="paragraph" w:customStyle="1" w:styleId="HeaderTitle">
    <w:name w:val="Header Title"/>
    <w:basedOn w:val="Standaard"/>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 1"/>
    <w:basedOn w:val="Plattetekst"/>
    <w:link w:val="BulletPoint1Char"/>
    <w:qFormat/>
    <w:rsid w:val="00551D1E"/>
    <w:pPr>
      <w:numPr>
        <w:numId w:val="22"/>
      </w:numPr>
    </w:p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Inhopg1"/>
    <w:link w:val="HeadingChar"/>
    <w:rsid w:val="009370CD"/>
    <w:pPr>
      <w:widowControl w:val="0"/>
      <w:autoSpaceDE w:val="0"/>
      <w:autoSpaceDN w:val="0"/>
      <w:adjustRightInd w:val="0"/>
      <w:spacing w:after="0"/>
      <w:ind w:left="0" w:firstLine="0"/>
      <w:jc w:val="left"/>
    </w:pPr>
    <w:rPr>
      <w:b/>
      <w:sz w:val="20"/>
      <w:u w:val="singl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 1 Char"/>
    <w:link w:val="BulletPoint1"/>
    <w:rsid w:val="00551D1E"/>
    <w:rPr>
      <w:rFonts w:ascii="Verdana" w:hAnsi="Verdana"/>
      <w:lang w:val="en-GB" w:eastAsia="en-US"/>
    </w:rPr>
  </w:style>
  <w:style w:type="paragraph" w:customStyle="1" w:styleId="BulletPoint20">
    <w:name w:val="Bullet Point 2"/>
    <w:basedOn w:val="BulletPoint1"/>
    <w:link w:val="BulletPoint2Char"/>
    <w:rsid w:val="003E6974"/>
    <w:pPr>
      <w:numPr>
        <w:numId w:val="0"/>
      </w:numPr>
    </w:pPr>
  </w:style>
  <w:style w:type="character" w:customStyle="1" w:styleId="HeadingChar">
    <w:name w:val="Heading Char"/>
    <w:link w:val="Heading"/>
    <w:rsid w:val="00B14205"/>
    <w:rPr>
      <w:rFonts w:ascii="Verdana" w:hAnsi="Verdana"/>
      <w:b/>
      <w:caps/>
      <w:u w:val="single"/>
      <w:lang w:val="fr-FR"/>
    </w:rPr>
  </w:style>
  <w:style w:type="paragraph" w:customStyle="1" w:styleId="Body">
    <w:name w:val="Body"/>
    <w:basedOn w:val="Standaard"/>
    <w:link w:val="BodyChar"/>
    <w:rsid w:val="00ED7D13"/>
    <w:pPr>
      <w:jc w:val="left"/>
    </w:pPr>
    <w:rPr>
      <w:rFonts w:ascii="Verdana" w:hAnsi="Verdana"/>
      <w:sz w:val="18"/>
    </w:rPr>
  </w:style>
  <w:style w:type="character" w:customStyle="1" w:styleId="BulletPoint2Char">
    <w:name w:val="Bullet Point 2 Char"/>
    <w:link w:val="BulletPoint20"/>
    <w:rsid w:val="003E6974"/>
    <w:rPr>
      <w:rFonts w:ascii="Verdana" w:hAnsi="Verdana"/>
      <w:lang w:val="fr-FR" w:eastAsia="en-US"/>
    </w:rPr>
  </w:style>
  <w:style w:type="paragraph" w:customStyle="1" w:styleId="heading20">
    <w:name w:val="heading 20"/>
    <w:basedOn w:val="Title2"/>
    <w:link w:val="Heading2Char"/>
    <w:rsid w:val="009370CD"/>
    <w:rPr>
      <w:b w:val="0"/>
      <w:i/>
    </w:rPr>
  </w:style>
  <w:style w:type="character" w:customStyle="1" w:styleId="BodyChar">
    <w:name w:val="Body Char"/>
    <w:link w:val="Body"/>
    <w:rsid w:val="00ED7D13"/>
    <w:rPr>
      <w:rFonts w:ascii="Verdana" w:hAnsi="Verdana"/>
      <w:sz w:val="18"/>
      <w:lang w:val="fr-FR" w:eastAsia="en-US"/>
    </w:rPr>
  </w:style>
  <w:style w:type="table" w:styleId="Tabelraster">
    <w:name w:val="Table Grid"/>
    <w:aliases w:val="Document Table"/>
    <w:basedOn w:val="Standaardtabe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 2 Char"/>
    <w:link w:val="heading20"/>
    <w:rsid w:val="009370CD"/>
    <w:rPr>
      <w:rFonts w:ascii="Verdana" w:hAnsi="Verdana"/>
      <w:b/>
      <w:i/>
      <w:sz w:val="24"/>
      <w:lang w:val="fr-FR" w:eastAsia="en-US"/>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FooterDocument">
    <w:name w:val="Footer Document"/>
    <w:basedOn w:val="Body"/>
    <w:link w:val="FooterDocumentChar"/>
    <w:rsid w:val="00F5647F"/>
    <w:pPr>
      <w:spacing w:after="0"/>
    </w:pPr>
    <w:rPr>
      <w:i/>
      <w:noProof/>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Kopvaninhoudsopgave">
    <w:name w:val="TOC Heading"/>
    <w:basedOn w:val="Kop1"/>
    <w:next w:val="Standaard"/>
    <w:uiPriority w:val="39"/>
    <w:unhideWhenUsed/>
    <w:qFormat/>
    <w:rsid w:val="00551D1E"/>
    <w:pPr>
      <w:keepLines/>
      <w:numPr>
        <w:numId w:val="0"/>
      </w:numPr>
      <w:spacing w:after="0" w:line="276" w:lineRule="auto"/>
      <w:outlineLvl w:val="9"/>
    </w:pPr>
    <w:rPr>
      <w:rFonts w:eastAsia="MS Gothic"/>
      <w:bCs/>
      <w:smallCaps/>
      <w:color w:val="365F91"/>
      <w:sz w:val="28"/>
      <w:szCs w:val="28"/>
      <w:lang w:val="en-US"/>
    </w:rPr>
  </w:style>
  <w:style w:type="paragraph" w:customStyle="1" w:styleId="Title2">
    <w:name w:val="Title 2"/>
    <w:basedOn w:val="Titel"/>
    <w:qFormat/>
    <w:rsid w:val="00551D1E"/>
    <w:rPr>
      <w:sz w:val="48"/>
      <w:szCs w:val="48"/>
    </w:rPr>
  </w:style>
  <w:style w:type="paragraph" w:customStyle="1" w:styleId="Subtitle0">
    <w:name w:val="Subtitle0"/>
    <w:basedOn w:val="Inhopg2"/>
    <w:link w:val="SubtitleChar"/>
    <w:rsid w:val="001D2A51"/>
    <w:pPr>
      <w:ind w:left="0" w:firstLine="0"/>
    </w:pPr>
    <w:rPr>
      <w:b/>
      <w:i/>
      <w:sz w:val="20"/>
    </w:rPr>
  </w:style>
  <w:style w:type="character" w:customStyle="1" w:styleId="SubtitleChar">
    <w:name w:val="Subtitle Char"/>
    <w:link w:val="Subtitle0"/>
    <w:rsid w:val="001D2A51"/>
    <w:rPr>
      <w:rFonts w:ascii="Verdana" w:hAnsi="Verdana"/>
      <w:b/>
      <w:i/>
      <w:sz w:val="24"/>
      <w:lang w:val="fr-FR" w:eastAsia="en-US"/>
    </w:rPr>
  </w:style>
  <w:style w:type="paragraph" w:customStyle="1" w:styleId="HeadingBody">
    <w:name w:val="Heading Body"/>
    <w:basedOn w:val="Standaard"/>
    <w:link w:val="HeadingBodyChar"/>
    <w:rsid w:val="001D2A51"/>
    <w:pPr>
      <w:spacing w:after="120"/>
    </w:pPr>
    <w:rPr>
      <w:rFonts w:ascii="Verdana" w:hAnsi="Verdana"/>
      <w:b/>
      <w:sz w:val="20"/>
      <w:szCs w:val="18"/>
    </w:rPr>
  </w:style>
  <w:style w:type="character" w:customStyle="1" w:styleId="HeadingBodyChar">
    <w:name w:val="Heading Body Char"/>
    <w:link w:val="HeadingBody"/>
    <w:rsid w:val="001D2A51"/>
    <w:rPr>
      <w:rFonts w:ascii="Verdana" w:hAnsi="Verdana"/>
      <w:b/>
      <w:szCs w:val="18"/>
      <w:lang w:val="en-GB" w:eastAsia="en-US"/>
    </w:rPr>
  </w:style>
  <w:style w:type="paragraph" w:customStyle="1" w:styleId="Editorname">
    <w:name w:val="Editor name"/>
    <w:basedOn w:val="Standaard"/>
    <w:link w:val="EditornameChar"/>
    <w:rsid w:val="001D2A51"/>
    <w:pPr>
      <w:jc w:val="center"/>
    </w:pPr>
    <w:rPr>
      <w:rFonts w:ascii="Verdana" w:hAnsi="Verdana"/>
      <w:color w:val="FF0000"/>
    </w:rPr>
  </w:style>
  <w:style w:type="paragraph" w:customStyle="1" w:styleId="Backcoversummary">
    <w:name w:val="Backcover_summary"/>
    <w:basedOn w:val="Standaard"/>
    <w:link w:val="BackcoversummaryChar"/>
    <w:rsid w:val="001D2A51"/>
    <w:rPr>
      <w:rFonts w:ascii="Verdana" w:hAnsi="Verdana"/>
      <w:color w:val="FF0000"/>
    </w:rPr>
  </w:style>
  <w:style w:type="character" w:customStyle="1" w:styleId="EditornameChar">
    <w:name w:val="Editor name Char"/>
    <w:link w:val="Editorname"/>
    <w:rsid w:val="001D2A51"/>
    <w:rPr>
      <w:rFonts w:ascii="Verdana" w:hAnsi="Verdana"/>
      <w:color w:val="FF0000"/>
      <w:sz w:val="24"/>
      <w:lang w:val="en-GB" w:eastAsia="en-US"/>
    </w:rPr>
  </w:style>
  <w:style w:type="paragraph" w:customStyle="1" w:styleId="Backcovercategory">
    <w:name w:val="Backcover_category"/>
    <w:basedOn w:val="Standaard"/>
    <w:link w:val="BackcovercategoryChar"/>
    <w:rsid w:val="001D2A51"/>
    <w:pPr>
      <w:ind w:right="28"/>
    </w:pPr>
    <w:rPr>
      <w:rFonts w:ascii="Verdana" w:hAnsi="Verdana"/>
      <w:i/>
      <w:color w:val="FF0000"/>
      <w:sz w:val="18"/>
    </w:rPr>
  </w:style>
  <w:style w:type="character" w:customStyle="1" w:styleId="BackcoversummaryChar">
    <w:name w:val="Backcover_summary Char"/>
    <w:link w:val="Backcoversummary"/>
    <w:rsid w:val="001D2A51"/>
    <w:rPr>
      <w:rFonts w:ascii="Verdana" w:hAnsi="Verdana"/>
      <w:color w:val="FF0000"/>
      <w:sz w:val="24"/>
      <w:lang w:val="en-GB" w:eastAsia="en-US"/>
    </w:rPr>
  </w:style>
  <w:style w:type="character" w:customStyle="1" w:styleId="BackcovercategoryChar">
    <w:name w:val="Backcover_category Char"/>
    <w:link w:val="Backcovercategory"/>
    <w:rsid w:val="001D2A51"/>
    <w:rPr>
      <w:rFonts w:ascii="Verdana" w:hAnsi="Verdana"/>
      <w:i/>
      <w:color w:val="FF0000"/>
      <w:sz w:val="18"/>
      <w:lang w:val="en-GB" w:eastAsia="en-US"/>
    </w:rPr>
  </w:style>
  <w:style w:type="paragraph" w:customStyle="1" w:styleId="StyleBodyTextAfter0pt">
    <w:name w:val="Style Body Text + After:  0 pt"/>
    <w:basedOn w:val="Plattetekst"/>
    <w:link w:val="StyleBodyTextAfter0ptChar"/>
    <w:rsid w:val="0084455C"/>
  </w:style>
  <w:style w:type="character" w:customStyle="1" w:styleId="PlattetekstChar">
    <w:name w:val="Platte tekst Char"/>
    <w:link w:val="Plattetekst"/>
    <w:rsid w:val="008F5DE4"/>
    <w:rPr>
      <w:rFonts w:ascii="Verdana" w:hAnsi="Verdana"/>
      <w:lang w:val="en-GB" w:eastAsia="en-US"/>
    </w:rPr>
  </w:style>
  <w:style w:type="numbering" w:customStyle="1" w:styleId="Style2">
    <w:name w:val="Style2"/>
    <w:basedOn w:val="Geenlijst"/>
    <w:rsid w:val="0084455C"/>
    <w:pPr>
      <w:numPr>
        <w:numId w:val="18"/>
      </w:numPr>
    </w:pPr>
  </w:style>
  <w:style w:type="paragraph" w:customStyle="1" w:styleId="StyleHeading2VerdanaAuto">
    <w:name w:val="Style Heading 2 + Verdana Auto"/>
    <w:basedOn w:val="Kop2"/>
    <w:rsid w:val="0084455C"/>
    <w:pPr>
      <w:spacing w:after="60"/>
    </w:pPr>
    <w:rPr>
      <w:rFonts w:cs="Arial"/>
      <w:bCs/>
      <w:color w:val="263673"/>
      <w:szCs w:val="28"/>
      <w:lang w:eastAsia="en-GB"/>
    </w:rPr>
  </w:style>
  <w:style w:type="paragraph" w:customStyle="1" w:styleId="StyleListBullet2">
    <w:name w:val="Style List Bullet 2 +"/>
    <w:basedOn w:val="Lijstopsomteken2"/>
    <w:link w:val="StyleListBullet2Char"/>
    <w:rsid w:val="0084455C"/>
    <w:pPr>
      <w:tabs>
        <w:tab w:val="clear" w:pos="1485"/>
        <w:tab w:val="num" w:pos="227"/>
      </w:tabs>
      <w:spacing w:before="60" w:after="60"/>
      <w:ind w:left="227" w:hanging="227"/>
      <w:jc w:val="left"/>
    </w:pPr>
  </w:style>
  <w:style w:type="character" w:customStyle="1" w:styleId="Lijstopsomteken2Char">
    <w:name w:val="Lijst opsom.teken 2 Char"/>
    <w:link w:val="Lijstopsomteken2"/>
    <w:rsid w:val="0084455C"/>
    <w:rPr>
      <w:sz w:val="24"/>
      <w:lang w:val="en-GB" w:eastAsia="en-US"/>
    </w:rPr>
  </w:style>
  <w:style w:type="character" w:customStyle="1" w:styleId="StyleListBullet2Char">
    <w:name w:val="Style List Bullet 2 + Char"/>
    <w:link w:val="StyleListBullet2"/>
    <w:rsid w:val="0084455C"/>
    <w:rPr>
      <w:sz w:val="24"/>
      <w:lang w:val="en-GB" w:eastAsia="en-US"/>
    </w:rPr>
  </w:style>
  <w:style w:type="character" w:customStyle="1" w:styleId="StyleBodyTextAfter0ptChar">
    <w:name w:val="Style Body Text + After:  0 pt Char"/>
    <w:link w:val="StyleBodyTextAfter0pt"/>
    <w:rsid w:val="0084455C"/>
    <w:rPr>
      <w:rFonts w:ascii="Verdana" w:hAnsi="Verdana"/>
      <w:sz w:val="24"/>
      <w:lang w:val="fr-FR" w:eastAsia="en-US"/>
    </w:rPr>
  </w:style>
  <w:style w:type="paragraph" w:customStyle="1" w:styleId="StyleStyleBodyTextAfter0ptVerdanaBold">
    <w:name w:val="Style Style Body Text + After:  0 pt + Verdana Bold"/>
    <w:basedOn w:val="StyleBodyTextAfter0pt"/>
    <w:link w:val="StyleStyleBodyTextAfter0ptVerdanaBoldChar"/>
    <w:rsid w:val="0084455C"/>
    <w:rPr>
      <w:b/>
      <w:bCs/>
      <w:szCs w:val="24"/>
    </w:rPr>
  </w:style>
  <w:style w:type="character" w:customStyle="1" w:styleId="StyleStyleBodyTextAfter0ptVerdanaBoldChar">
    <w:name w:val="Style Style Body Text + After:  0 pt + Verdana Bold Char"/>
    <w:link w:val="StyleStyleBodyTextAfter0ptVerdanaBold"/>
    <w:rsid w:val="0084455C"/>
    <w:rPr>
      <w:b/>
      <w:bCs/>
      <w:sz w:val="24"/>
      <w:szCs w:val="24"/>
      <w:lang w:val="fr-FR" w:eastAsia="en-US"/>
    </w:rPr>
  </w:style>
  <w:style w:type="paragraph" w:customStyle="1" w:styleId="StyleStyleBodyTextAfter0ptVerdanaBoldAuto">
    <w:name w:val="Style Style Body Text + After:  0 pt + Verdana Bold Auto"/>
    <w:basedOn w:val="StyleBodyTextAfter0pt"/>
    <w:link w:val="StyleStyleBodyTextAfter0ptVerdanaBoldAutoChar"/>
    <w:rsid w:val="0084455C"/>
    <w:rPr>
      <w:b/>
      <w:bCs/>
      <w:szCs w:val="24"/>
    </w:rPr>
  </w:style>
  <w:style w:type="character" w:customStyle="1" w:styleId="StyleStyleBodyTextAfter0ptVerdanaBoldAutoChar">
    <w:name w:val="Style Style Body Text + After:  0 pt + Verdana Bold Auto Char"/>
    <w:link w:val="StyleStyleBodyTextAfter0ptVerdanaBoldAuto"/>
    <w:rsid w:val="0084455C"/>
    <w:rPr>
      <w:b/>
      <w:bCs/>
      <w:sz w:val="24"/>
      <w:szCs w:val="24"/>
      <w:lang w:val="fr-FR" w:eastAsia="en-US"/>
    </w:rPr>
  </w:style>
  <w:style w:type="character" w:customStyle="1" w:styleId="Kop1Char">
    <w:name w:val="Kop 1 Char"/>
    <w:aliases w:val="Titel hoofdstuk Char"/>
    <w:link w:val="Kop1"/>
    <w:rsid w:val="004771A1"/>
    <w:rPr>
      <w:rFonts w:ascii="Verdana" w:hAnsi="Verdana"/>
      <w:b/>
      <w:sz w:val="26"/>
      <w:szCs w:val="26"/>
      <w:lang w:val="en-GB" w:eastAsia="en-US"/>
    </w:rPr>
  </w:style>
  <w:style w:type="paragraph" w:customStyle="1" w:styleId="StyleHeading1Gray-80">
    <w:name w:val="Style Heading 1 + Gray-80%"/>
    <w:basedOn w:val="Kop1"/>
    <w:link w:val="StyleHeading1Gray-80Char"/>
    <w:rsid w:val="0084455C"/>
    <w:pPr>
      <w:spacing w:after="60"/>
    </w:pPr>
    <w:rPr>
      <w:rFonts w:cs="Arial"/>
      <w:bCs/>
      <w:smallCaps/>
      <w:color w:val="263673"/>
      <w:kern w:val="32"/>
      <w:sz w:val="28"/>
      <w:szCs w:val="32"/>
      <w:lang w:eastAsia="en-GB"/>
    </w:rPr>
  </w:style>
  <w:style w:type="character" w:customStyle="1" w:styleId="StyleHeading1Gray-80Char">
    <w:name w:val="Style Heading 1 + Gray-80% Char"/>
    <w:link w:val="StyleHeading1Gray-80"/>
    <w:rsid w:val="0084455C"/>
    <w:rPr>
      <w:rFonts w:ascii="Verdana" w:hAnsi="Verdana" w:cs="Arial"/>
      <w:b/>
      <w:bCs/>
      <w:smallCaps/>
      <w:color w:val="263673"/>
      <w:kern w:val="32"/>
      <w:sz w:val="28"/>
      <w:szCs w:val="32"/>
      <w:lang w:val="en-GB" w:eastAsia="en-GB"/>
    </w:rPr>
  </w:style>
  <w:style w:type="paragraph" w:styleId="Lijstalinea">
    <w:name w:val="List Paragraph"/>
    <w:aliases w:val="Bullet List,FooterText,List Paragraph1,Colorful List Accent 1,numbered,列出段落,列出段落1,Bulletr List Paragraph,List Paragraph2,List Paragraph21,Párrafo de lista1,Parágrafo da Lista1,リスト段落1,Plan,Dot pt,F5 List Paragraph"/>
    <w:basedOn w:val="Standaard"/>
    <w:link w:val="LijstalineaChar"/>
    <w:uiPriority w:val="34"/>
    <w:qFormat/>
    <w:rsid w:val="00C46893"/>
    <w:pPr>
      <w:ind w:left="720"/>
      <w:contextualSpacing/>
    </w:pPr>
  </w:style>
  <w:style w:type="character" w:styleId="Nadruk">
    <w:name w:val="Emphasis"/>
    <w:uiPriority w:val="20"/>
    <w:qFormat/>
    <w:rsid w:val="00551D1E"/>
    <w:rPr>
      <w:b/>
      <w:bCs/>
      <w:i w:val="0"/>
      <w:iCs w:val="0"/>
    </w:rPr>
  </w:style>
  <w:style w:type="character" w:customStyle="1" w:styleId="st">
    <w:name w:val="st"/>
    <w:basedOn w:val="Standaardalinea-lettertype"/>
    <w:rsid w:val="00B56119"/>
  </w:style>
  <w:style w:type="character" w:styleId="Verwijzingopmerking">
    <w:name w:val="annotation reference"/>
    <w:uiPriority w:val="99"/>
    <w:rsid w:val="000813B0"/>
    <w:rPr>
      <w:sz w:val="16"/>
      <w:szCs w:val="16"/>
    </w:rPr>
  </w:style>
  <w:style w:type="paragraph" w:styleId="Onderwerpvanopmerking">
    <w:name w:val="annotation subject"/>
    <w:basedOn w:val="Tekstopmerking"/>
    <w:next w:val="Tekstopmerking"/>
    <w:link w:val="OnderwerpvanopmerkingChar"/>
    <w:rsid w:val="000813B0"/>
    <w:rPr>
      <w:b/>
      <w:bCs/>
    </w:rPr>
  </w:style>
  <w:style w:type="character" w:customStyle="1" w:styleId="TekstopmerkingChar">
    <w:name w:val="Tekst opmerking Char"/>
    <w:link w:val="Tekstopmerking"/>
    <w:uiPriority w:val="99"/>
    <w:rsid w:val="000813B0"/>
    <w:rPr>
      <w:lang w:val="fr-FR" w:eastAsia="en-US"/>
    </w:rPr>
  </w:style>
  <w:style w:type="character" w:customStyle="1" w:styleId="OnderwerpvanopmerkingChar">
    <w:name w:val="Onderwerp van opmerking Char"/>
    <w:link w:val="Onderwerpvanopmerking"/>
    <w:rsid w:val="000813B0"/>
    <w:rPr>
      <w:b/>
      <w:bCs/>
      <w:lang w:val="fr-FR" w:eastAsia="en-US"/>
    </w:rPr>
  </w:style>
  <w:style w:type="paragraph" w:styleId="Revisie">
    <w:name w:val="Revision"/>
    <w:hidden/>
    <w:uiPriority w:val="99"/>
    <w:semiHidden/>
    <w:rsid w:val="000813B0"/>
    <w:rPr>
      <w:sz w:val="24"/>
      <w:lang w:val="fr-FR" w:eastAsia="en-US"/>
    </w:rPr>
  </w:style>
  <w:style w:type="paragraph" w:customStyle="1" w:styleId="Author">
    <w:name w:val="Author"/>
    <w:basedOn w:val="Plattetekst"/>
    <w:uiPriority w:val="99"/>
    <w:rsid w:val="000813B0"/>
    <w:pPr>
      <w:spacing w:line="264" w:lineRule="auto"/>
      <w:jc w:val="center"/>
    </w:pPr>
    <w:rPr>
      <w:rFonts w:ascii="Century Gothic" w:hAnsi="Century Gothic"/>
      <w:color w:val="333333"/>
    </w:rPr>
  </w:style>
  <w:style w:type="character" w:styleId="Titelvanboek">
    <w:name w:val="Book Title"/>
    <w:uiPriority w:val="33"/>
    <w:rsid w:val="000813B0"/>
    <w:rPr>
      <w:smallCaps/>
      <w:spacing w:val="5"/>
      <w:sz w:val="24"/>
    </w:rPr>
  </w:style>
  <w:style w:type="paragraph" w:customStyle="1" w:styleId="Authors">
    <w:name w:val="Authors"/>
    <w:basedOn w:val="Plattetekst"/>
    <w:link w:val="AuthorsChar"/>
    <w:qFormat/>
    <w:rsid w:val="00551D1E"/>
    <w:pPr>
      <w:jc w:val="center"/>
    </w:pPr>
    <w:rPr>
      <w:b/>
      <w:i/>
    </w:rPr>
  </w:style>
  <w:style w:type="character" w:customStyle="1" w:styleId="AuthorsChar">
    <w:name w:val="Authors Char"/>
    <w:link w:val="Authors"/>
    <w:rsid w:val="00551D1E"/>
    <w:rPr>
      <w:rFonts w:ascii="Verdana" w:hAnsi="Verdana"/>
      <w:b/>
      <w:i/>
      <w:lang w:val="en-GB" w:eastAsia="en-US"/>
    </w:rPr>
  </w:style>
  <w:style w:type="paragraph" w:customStyle="1" w:styleId="Numberedlist">
    <w:name w:val="Numbered list"/>
    <w:basedOn w:val="Plattetekst"/>
    <w:link w:val="NumberedlistChar"/>
    <w:rsid w:val="00695570"/>
    <w:pPr>
      <w:numPr>
        <w:numId w:val="20"/>
      </w:numPr>
    </w:pPr>
  </w:style>
  <w:style w:type="character" w:customStyle="1" w:styleId="NumberedlistChar">
    <w:name w:val="Numbered list Char"/>
    <w:link w:val="Numberedlist"/>
    <w:rsid w:val="00695570"/>
    <w:rPr>
      <w:rFonts w:ascii="Verdana" w:hAnsi="Verdana"/>
      <w:lang w:val="en-GB" w:eastAsia="en-US"/>
    </w:rPr>
  </w:style>
  <w:style w:type="character" w:customStyle="1" w:styleId="VoetnoottekstChar">
    <w:name w:val="Voetnoottekst Char"/>
    <w:aliases w:val="Tekst przypisu Char,Tekst przypisu Znak Znak Znak Znak Char,Tekst przypisu Znak Znak Znak Znak Znak Char,Tekst przypisu Znak Znak Znak Znak Znak Znak Znak Char,Tekst przypisu Znak Znak Znak Znak Znak Znak Znak Znak Zn Char,C Char"/>
    <w:link w:val="Voetnoottekst"/>
    <w:qFormat/>
    <w:rsid w:val="00110B46"/>
    <w:rPr>
      <w:rFonts w:ascii="Verdana" w:hAnsi="Verdana"/>
      <w:sz w:val="16"/>
      <w:szCs w:val="18"/>
      <w:lang w:val="en-GB" w:eastAsia="en-US"/>
    </w:rPr>
  </w:style>
  <w:style w:type="paragraph" w:customStyle="1" w:styleId="TableRowTitle">
    <w:name w:val="Table_RowTitle"/>
    <w:basedOn w:val="Standaard"/>
    <w:link w:val="TableRowTitleChar"/>
    <w:qFormat/>
    <w:rsid w:val="00551D1E"/>
    <w:pPr>
      <w:spacing w:after="120"/>
      <w:jc w:val="center"/>
    </w:pPr>
    <w:rPr>
      <w:rFonts w:ascii="Verdana" w:eastAsia="Verdana" w:hAnsi="Verdana" w:cs="Verdana"/>
      <w:b/>
      <w:sz w:val="18"/>
      <w:szCs w:val="18"/>
    </w:rPr>
  </w:style>
  <w:style w:type="paragraph" w:customStyle="1" w:styleId="TableColumnTitle">
    <w:name w:val="Table_ColumnTitle"/>
    <w:basedOn w:val="Standaard"/>
    <w:link w:val="TableColumnTitleChar"/>
    <w:qFormat/>
    <w:rsid w:val="00551D1E"/>
    <w:pPr>
      <w:spacing w:after="120"/>
      <w:jc w:val="left"/>
    </w:pPr>
    <w:rPr>
      <w:rFonts w:ascii="Verdana" w:eastAsia="Verdana" w:hAnsi="Verdana"/>
      <w:b/>
      <w:sz w:val="18"/>
      <w:szCs w:val="18"/>
    </w:rPr>
  </w:style>
  <w:style w:type="character" w:customStyle="1" w:styleId="TableRowTitleChar">
    <w:name w:val="Table_RowTitle Char"/>
    <w:link w:val="TableRowTitle"/>
    <w:rsid w:val="00551D1E"/>
    <w:rPr>
      <w:rFonts w:ascii="Verdana" w:eastAsia="Verdana" w:hAnsi="Verdana" w:cs="Verdana"/>
      <w:b/>
      <w:sz w:val="18"/>
      <w:szCs w:val="18"/>
      <w:lang w:eastAsia="en-US"/>
    </w:rPr>
  </w:style>
  <w:style w:type="paragraph" w:customStyle="1" w:styleId="TableText0">
    <w:name w:val="Table_Text"/>
    <w:basedOn w:val="Standaard"/>
    <w:link w:val="TableTextChar"/>
    <w:qFormat/>
    <w:rsid w:val="00551D1E"/>
    <w:pPr>
      <w:spacing w:after="0"/>
      <w:ind w:right="113"/>
      <w:jc w:val="right"/>
    </w:pPr>
    <w:rPr>
      <w:rFonts w:ascii="Verdana" w:eastAsia="Arial Narrow" w:hAnsi="Verdana" w:cs="Arial Narrow"/>
      <w:sz w:val="18"/>
      <w:szCs w:val="18"/>
    </w:rPr>
  </w:style>
  <w:style w:type="character" w:customStyle="1" w:styleId="TableColumnTitleChar">
    <w:name w:val="Table_ColumnTitle Char"/>
    <w:link w:val="TableColumnTitle"/>
    <w:rsid w:val="00551D1E"/>
    <w:rPr>
      <w:rFonts w:ascii="Verdana" w:eastAsia="Verdana" w:hAnsi="Verdana"/>
      <w:b/>
      <w:sz w:val="18"/>
      <w:szCs w:val="18"/>
      <w:lang w:eastAsia="en-US"/>
    </w:rPr>
  </w:style>
  <w:style w:type="paragraph" w:customStyle="1" w:styleId="TableSourceNote">
    <w:name w:val="Table_Source&amp;Note"/>
    <w:basedOn w:val="TableText0"/>
    <w:link w:val="TableSourceNoteChar"/>
    <w:qFormat/>
    <w:rsid w:val="00551D1E"/>
    <w:pPr>
      <w:jc w:val="left"/>
    </w:pPr>
    <w:rPr>
      <w:i/>
      <w:sz w:val="16"/>
      <w:szCs w:val="16"/>
    </w:rPr>
  </w:style>
  <w:style w:type="character" w:customStyle="1" w:styleId="TableTextChar">
    <w:name w:val="Table_Text Char"/>
    <w:link w:val="TableText0"/>
    <w:rsid w:val="00551D1E"/>
    <w:rPr>
      <w:rFonts w:ascii="Verdana" w:eastAsia="Arial Narrow" w:hAnsi="Verdana" w:cs="Arial Narrow"/>
      <w:sz w:val="18"/>
      <w:szCs w:val="18"/>
      <w:lang w:eastAsia="en-US"/>
    </w:rPr>
  </w:style>
  <w:style w:type="character" w:styleId="HTML-citaat">
    <w:name w:val="HTML Cite"/>
    <w:uiPriority w:val="99"/>
    <w:unhideWhenUsed/>
    <w:rsid w:val="004F10E9"/>
    <w:rPr>
      <w:i/>
      <w:iCs/>
    </w:rPr>
  </w:style>
  <w:style w:type="character" w:customStyle="1" w:styleId="TableSourceNoteChar">
    <w:name w:val="Table_Source&amp;Note Char"/>
    <w:link w:val="TableSourceNote"/>
    <w:rsid w:val="00551D1E"/>
    <w:rPr>
      <w:rFonts w:ascii="Verdana" w:eastAsia="Arial Narrow" w:hAnsi="Verdana" w:cs="Arial Narrow"/>
      <w:i/>
      <w:sz w:val="16"/>
      <w:szCs w:val="16"/>
      <w:lang w:eastAsia="en-US"/>
    </w:rPr>
  </w:style>
  <w:style w:type="character" w:customStyle="1" w:styleId="apple-converted-space">
    <w:name w:val="apple-converted-space"/>
    <w:basedOn w:val="Standaardalinea-lettertype"/>
    <w:rsid w:val="004C1413"/>
  </w:style>
  <w:style w:type="character" w:styleId="GevolgdeHyperlink">
    <w:name w:val="FollowedHyperlink"/>
    <w:rsid w:val="00FA37B2"/>
    <w:rPr>
      <w:color w:val="800080"/>
      <w:u w:val="single"/>
    </w:rPr>
  </w:style>
  <w:style w:type="character" w:styleId="Eindnootmarkering">
    <w:name w:val="endnote reference"/>
    <w:semiHidden/>
    <w:unhideWhenUsed/>
    <w:rsid w:val="00876AA1"/>
    <w:rPr>
      <w:vertAlign w:val="superscript"/>
    </w:rPr>
  </w:style>
  <w:style w:type="paragraph" w:customStyle="1" w:styleId="Bulletpoint2">
    <w:name w:val="Bullet point 2"/>
    <w:basedOn w:val="BulletPoint1"/>
    <w:link w:val="Bulletpoint2Char0"/>
    <w:qFormat/>
    <w:rsid w:val="00551D1E"/>
    <w:pPr>
      <w:numPr>
        <w:ilvl w:val="1"/>
        <w:numId w:val="19"/>
      </w:numPr>
      <w:ind w:left="1134" w:hanging="425"/>
    </w:pPr>
  </w:style>
  <w:style w:type="character" w:customStyle="1" w:styleId="Bulletpoint2Char0">
    <w:name w:val="Bullet point 2 Char"/>
    <w:link w:val="Bulletpoint2"/>
    <w:rsid w:val="00551D1E"/>
    <w:rPr>
      <w:rFonts w:ascii="Verdana" w:hAnsi="Verdana"/>
      <w:lang w:val="en-GB" w:eastAsia="en-US"/>
    </w:rPr>
  </w:style>
  <w:style w:type="character" w:customStyle="1" w:styleId="TitelChar">
    <w:name w:val="Titel Char"/>
    <w:link w:val="Titel"/>
    <w:rsid w:val="00551D1E"/>
    <w:rPr>
      <w:rFonts w:ascii="Verdana" w:hAnsi="Verdana"/>
      <w:b/>
      <w:kern w:val="28"/>
      <w:sz w:val="52"/>
      <w:szCs w:val="52"/>
      <w:lang w:val="en-GB" w:eastAsia="en-US"/>
    </w:rPr>
  </w:style>
  <w:style w:type="character" w:customStyle="1" w:styleId="OndertitelChar">
    <w:name w:val="Ondertitel Char"/>
    <w:link w:val="Ondertitel"/>
    <w:rsid w:val="00551D1E"/>
    <w:rPr>
      <w:rFonts w:ascii="Verdana" w:hAnsi="Verdana"/>
      <w:b/>
      <w:sz w:val="32"/>
      <w:szCs w:val="32"/>
      <w:lang w:val="en-GB" w:eastAsia="en-US"/>
    </w:rPr>
  </w:style>
  <w:style w:type="character" w:styleId="Zwaar">
    <w:name w:val="Strong"/>
    <w:uiPriority w:val="22"/>
    <w:qFormat/>
    <w:rsid w:val="00551D1E"/>
    <w:rPr>
      <w:b/>
      <w:bCs/>
    </w:rPr>
  </w:style>
  <w:style w:type="paragraph" w:customStyle="1" w:styleId="FootnoteReferneceCarcter">
    <w:name w:val="Footnote Refernece Carácter"/>
    <w:aliases w:val="ftref Carácter,4_G Carácter"/>
    <w:basedOn w:val="Standaard"/>
    <w:link w:val="Voetnootmarkering"/>
    <w:uiPriority w:val="99"/>
    <w:rsid w:val="00CC061F"/>
    <w:pPr>
      <w:spacing w:before="120" w:after="160" w:line="240" w:lineRule="exact"/>
    </w:pPr>
    <w:rPr>
      <w:sz w:val="20"/>
      <w:vertAlign w:val="superscript"/>
      <w:lang w:val="fr-FR" w:eastAsia="fr-FR"/>
    </w:rPr>
  </w:style>
  <w:style w:type="paragraph" w:customStyle="1" w:styleId="BibliographyESPN">
    <w:name w:val="Bibliography ESPN"/>
    <w:basedOn w:val="Plattetekst"/>
    <w:qFormat/>
    <w:rsid w:val="006350FE"/>
    <w:pPr>
      <w:ind w:left="284" w:hanging="284"/>
    </w:pPr>
    <w:rPr>
      <w:rFonts w:eastAsia="Verdana"/>
    </w:rPr>
  </w:style>
  <w:style w:type="paragraph" w:customStyle="1" w:styleId="Part1">
    <w:name w:val="Part 1"/>
    <w:basedOn w:val="Kop1"/>
    <w:qFormat/>
    <w:rsid w:val="004B11A5"/>
    <w:pPr>
      <w:numPr>
        <w:numId w:val="0"/>
      </w:numPr>
      <w:ind w:left="432" w:hanging="432"/>
    </w:pPr>
    <w:rPr>
      <w:lang w:eastAsia="ar-SA"/>
    </w:rPr>
  </w:style>
  <w:style w:type="paragraph" w:customStyle="1" w:styleId="Default">
    <w:name w:val="Default"/>
    <w:rsid w:val="00715EF8"/>
    <w:pPr>
      <w:autoSpaceDE w:val="0"/>
      <w:autoSpaceDN w:val="0"/>
      <w:adjustRightInd w:val="0"/>
    </w:pPr>
    <w:rPr>
      <w:rFonts w:eastAsia="Calibri"/>
      <w:color w:val="000000"/>
      <w:sz w:val="24"/>
      <w:szCs w:val="24"/>
      <w:lang w:val="en-GB" w:eastAsia="en-US"/>
    </w:rPr>
  </w:style>
  <w:style w:type="paragraph" w:customStyle="1" w:styleId="Paragrafoelenco1">
    <w:name w:val="Paragrafo elenco1"/>
    <w:basedOn w:val="Standaard"/>
    <w:uiPriority w:val="34"/>
    <w:qFormat/>
    <w:rsid w:val="00071323"/>
    <w:pPr>
      <w:spacing w:after="0"/>
      <w:ind w:left="720"/>
      <w:contextualSpacing/>
    </w:pPr>
    <w:rPr>
      <w:rFonts w:ascii="Verdana" w:eastAsia="Calibri" w:hAnsi="Verdana"/>
      <w:sz w:val="20"/>
      <w:szCs w:val="22"/>
    </w:rPr>
  </w:style>
  <w:style w:type="paragraph" w:customStyle="1" w:styleId="Paragraphedeliste1">
    <w:name w:val="Paragraphe de liste1"/>
    <w:basedOn w:val="Standaard"/>
    <w:uiPriority w:val="34"/>
    <w:qFormat/>
    <w:rsid w:val="00071323"/>
    <w:pPr>
      <w:spacing w:after="0"/>
      <w:ind w:left="720"/>
      <w:contextualSpacing/>
    </w:pPr>
    <w:rPr>
      <w:rFonts w:ascii="Verdana" w:eastAsia="Calibri" w:hAnsi="Verdana"/>
      <w:sz w:val="20"/>
      <w:szCs w:val="22"/>
    </w:rPr>
  </w:style>
  <w:style w:type="character" w:customStyle="1" w:styleId="TekstzonderopmaakChar">
    <w:name w:val="Tekst zonder opmaak Char"/>
    <w:link w:val="Tekstzonderopmaak"/>
    <w:uiPriority w:val="99"/>
    <w:rsid w:val="009519A6"/>
    <w:rPr>
      <w:rFonts w:ascii="Courier New" w:hAnsi="Courier New"/>
      <w:lang w:eastAsia="en-US"/>
    </w:rPr>
  </w:style>
  <w:style w:type="character" w:customStyle="1" w:styleId="A2">
    <w:name w:val="A2"/>
    <w:uiPriority w:val="99"/>
    <w:qFormat/>
    <w:rsid w:val="009F7A37"/>
    <w:rPr>
      <w:rFonts w:cs="EC Square Sans Pro"/>
      <w:color w:val="000000"/>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Standaard"/>
    <w:uiPriority w:val="99"/>
    <w:rsid w:val="00AF5BC3"/>
    <w:pPr>
      <w:tabs>
        <w:tab w:val="left" w:pos="907"/>
      </w:tabs>
      <w:spacing w:before="60" w:after="160" w:line="240" w:lineRule="exact"/>
    </w:pPr>
    <w:rPr>
      <w:rFonts w:ascii="Calibri" w:eastAsia="Calibri" w:hAnsi="Calibri"/>
      <w:sz w:val="22"/>
      <w:szCs w:val="22"/>
      <w:vertAlign w:val="superscript"/>
      <w:lang w:val="en-IE"/>
    </w:rPr>
  </w:style>
  <w:style w:type="character" w:customStyle="1" w:styleId="LijstalineaChar">
    <w:name w:val="Lijstalinea Char"/>
    <w:aliases w:val="Bullet List Char,FooterText Char,List Paragraph1 Char,Colorful List Accent 1 Char,numbered Char,列出段落 Char,列出段落1 Char,Bulletr List Paragraph Char,List Paragraph2 Char,List Paragraph21 Char,Párrafo de lista1 Char,Parágrafo da Lista1 Char"/>
    <w:link w:val="Lijstalinea"/>
    <w:uiPriority w:val="34"/>
    <w:rsid w:val="00AF5BC3"/>
    <w:rPr>
      <w:sz w:val="24"/>
      <w:lang w:eastAsia="en-US"/>
    </w:rPr>
  </w:style>
  <w:style w:type="character" w:customStyle="1" w:styleId="Onopgelostemelding1">
    <w:name w:val="Onopgeloste melding1"/>
    <w:uiPriority w:val="99"/>
    <w:semiHidden/>
    <w:unhideWhenUsed/>
    <w:rsid w:val="003E0A2A"/>
    <w:rPr>
      <w:color w:val="605E5C"/>
      <w:shd w:val="clear" w:color="auto" w:fill="E1DFDD"/>
    </w:rPr>
  </w:style>
  <w:style w:type="paragraph" w:styleId="Normaalweb">
    <w:name w:val="Normal (Web)"/>
    <w:basedOn w:val="Standaard"/>
    <w:uiPriority w:val="99"/>
    <w:unhideWhenUsed/>
    <w:rsid w:val="0063662C"/>
    <w:pPr>
      <w:spacing w:before="100" w:beforeAutospacing="1" w:after="100" w:afterAutospacing="1"/>
      <w:jc w:val="left"/>
    </w:pPr>
    <w:rPr>
      <w:szCs w:val="24"/>
      <w:lang w:val="nl-NL" w:eastAsia="nl-NL"/>
    </w:rPr>
  </w:style>
  <w:style w:type="paragraph" w:styleId="HTML-voorafopgemaakt">
    <w:name w:val="HTML Preformatted"/>
    <w:basedOn w:val="Standaard"/>
    <w:link w:val="HTML-voorafopgemaaktChar"/>
    <w:uiPriority w:val="99"/>
    <w:unhideWhenUsed/>
    <w:rsid w:val="00B1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nl-NL" w:eastAsia="nl-NL"/>
    </w:rPr>
  </w:style>
  <w:style w:type="character" w:customStyle="1" w:styleId="HTML-voorafopgemaaktChar">
    <w:name w:val="HTML - vooraf opgemaakt Char"/>
    <w:link w:val="HTML-voorafopgemaakt"/>
    <w:uiPriority w:val="99"/>
    <w:rsid w:val="00B119B5"/>
    <w:rPr>
      <w:rFonts w:ascii="Courier New" w:hAnsi="Courier New" w:cs="Courier New"/>
    </w:rPr>
  </w:style>
  <w:style w:type="character" w:customStyle="1" w:styleId="ts-alignment-element">
    <w:name w:val="ts-alignment-element"/>
    <w:rsid w:val="00211D00"/>
  </w:style>
  <w:style w:type="paragraph" w:customStyle="1" w:styleId="Bulletlist">
    <w:name w:val="Bullet list"/>
    <w:basedOn w:val="Standaard"/>
    <w:link w:val="BulletlistChar"/>
    <w:autoRedefine/>
    <w:qFormat/>
    <w:rsid w:val="00C734FB"/>
    <w:pPr>
      <w:numPr>
        <w:numId w:val="35"/>
      </w:numPr>
      <w:spacing w:after="60" w:line="259" w:lineRule="auto"/>
      <w:ind w:left="714" w:hanging="357"/>
    </w:pPr>
    <w:rPr>
      <w:rFonts w:ascii="Verdana" w:hAnsi="Verdana"/>
      <w:color w:val="000000"/>
      <w:sz w:val="20"/>
      <w:szCs w:val="21"/>
    </w:rPr>
  </w:style>
  <w:style w:type="character" w:customStyle="1" w:styleId="BulletlistChar">
    <w:name w:val="Bullet list Char"/>
    <w:link w:val="Bulletlist"/>
    <w:rsid w:val="00C734FB"/>
    <w:rPr>
      <w:rFonts w:ascii="Verdana" w:hAnsi="Verdana"/>
      <w:color w:val="000000"/>
      <w:szCs w:val="21"/>
      <w:lang w:val="en-GB" w:eastAsia="en-US"/>
    </w:rPr>
  </w:style>
  <w:style w:type="paragraph" w:customStyle="1" w:styleId="Graph-tabletitle">
    <w:name w:val="Graph-table title"/>
    <w:basedOn w:val="Standaard"/>
    <w:qFormat/>
    <w:rsid w:val="00C734FB"/>
    <w:pPr>
      <w:spacing w:before="120" w:after="120"/>
      <w:jc w:val="left"/>
    </w:pPr>
    <w:rPr>
      <w:rFonts w:ascii="Verdana" w:hAnsi="Verdana"/>
      <w:b/>
      <w:i/>
      <w:color w:val="263673"/>
      <w:sz w:val="19"/>
      <w:szCs w:val="22"/>
    </w:rPr>
  </w:style>
  <w:style w:type="paragraph" w:customStyle="1" w:styleId="Sources">
    <w:name w:val="Sources"/>
    <w:basedOn w:val="Standaard"/>
    <w:link w:val="SourcesChar"/>
    <w:qFormat/>
    <w:rsid w:val="00C734FB"/>
    <w:pPr>
      <w:spacing w:before="60" w:after="160" w:line="259" w:lineRule="auto"/>
      <w:jc w:val="left"/>
    </w:pPr>
    <w:rPr>
      <w:rFonts w:ascii="Verdana" w:hAnsi="Verdana" w:cs="Calibri"/>
      <w:i/>
      <w:sz w:val="18"/>
      <w:szCs w:val="19"/>
    </w:rPr>
  </w:style>
  <w:style w:type="character" w:customStyle="1" w:styleId="SourcesChar">
    <w:name w:val="Sources Char"/>
    <w:link w:val="Sources"/>
    <w:rsid w:val="00C734FB"/>
    <w:rPr>
      <w:rFonts w:ascii="Verdana" w:hAnsi="Verdana" w:cs="Calibri"/>
      <w:i/>
      <w:sz w:val="18"/>
      <w:szCs w:val="19"/>
      <w:lang w:val="en-GB" w:eastAsia="en-US"/>
    </w:rPr>
  </w:style>
  <w:style w:type="character" w:customStyle="1" w:styleId="Kop2Char">
    <w:name w:val="Kop 2 Char"/>
    <w:aliases w:val="Titel paragraaf Char"/>
    <w:link w:val="Kop2"/>
    <w:rsid w:val="0047255E"/>
    <w:rPr>
      <w:rFonts w:ascii="Verdana" w:eastAsia="Verdana" w:hAnsi="Verdana"/>
      <w:b/>
      <w:sz w:val="22"/>
      <w:szCs w:val="22"/>
      <w:lang w:val="en-GB" w:eastAsia="en-US" w:bidi="en-GB"/>
    </w:rPr>
  </w:style>
  <w:style w:type="character" w:customStyle="1" w:styleId="tlid-translation">
    <w:name w:val="tlid-translation"/>
    <w:rsid w:val="009A521C"/>
  </w:style>
  <w:style w:type="character" w:styleId="Onopgelostemelding">
    <w:name w:val="Unresolved Mention"/>
    <w:basedOn w:val="Standaardalinea-lettertype"/>
    <w:uiPriority w:val="99"/>
    <w:semiHidden/>
    <w:unhideWhenUsed/>
    <w:rsid w:val="002C6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8334">
      <w:bodyDiv w:val="1"/>
      <w:marLeft w:val="0"/>
      <w:marRight w:val="0"/>
      <w:marTop w:val="0"/>
      <w:marBottom w:val="0"/>
      <w:divBdr>
        <w:top w:val="none" w:sz="0" w:space="0" w:color="auto"/>
        <w:left w:val="none" w:sz="0" w:space="0" w:color="auto"/>
        <w:bottom w:val="none" w:sz="0" w:space="0" w:color="auto"/>
        <w:right w:val="none" w:sz="0" w:space="0" w:color="auto"/>
      </w:divBdr>
    </w:div>
    <w:div w:id="150800164">
      <w:bodyDiv w:val="1"/>
      <w:marLeft w:val="0"/>
      <w:marRight w:val="0"/>
      <w:marTop w:val="0"/>
      <w:marBottom w:val="0"/>
      <w:divBdr>
        <w:top w:val="none" w:sz="0" w:space="0" w:color="auto"/>
        <w:left w:val="none" w:sz="0" w:space="0" w:color="auto"/>
        <w:bottom w:val="none" w:sz="0" w:space="0" w:color="auto"/>
        <w:right w:val="none" w:sz="0" w:space="0" w:color="auto"/>
      </w:divBdr>
    </w:div>
    <w:div w:id="154689126">
      <w:bodyDiv w:val="1"/>
      <w:marLeft w:val="0"/>
      <w:marRight w:val="0"/>
      <w:marTop w:val="0"/>
      <w:marBottom w:val="0"/>
      <w:divBdr>
        <w:top w:val="none" w:sz="0" w:space="0" w:color="auto"/>
        <w:left w:val="none" w:sz="0" w:space="0" w:color="auto"/>
        <w:bottom w:val="none" w:sz="0" w:space="0" w:color="auto"/>
        <w:right w:val="none" w:sz="0" w:space="0" w:color="auto"/>
      </w:divBdr>
    </w:div>
    <w:div w:id="192115976">
      <w:bodyDiv w:val="1"/>
      <w:marLeft w:val="0"/>
      <w:marRight w:val="0"/>
      <w:marTop w:val="0"/>
      <w:marBottom w:val="0"/>
      <w:divBdr>
        <w:top w:val="none" w:sz="0" w:space="0" w:color="auto"/>
        <w:left w:val="none" w:sz="0" w:space="0" w:color="auto"/>
        <w:bottom w:val="none" w:sz="0" w:space="0" w:color="auto"/>
        <w:right w:val="none" w:sz="0" w:space="0" w:color="auto"/>
      </w:divBdr>
    </w:div>
    <w:div w:id="211428702">
      <w:bodyDiv w:val="1"/>
      <w:marLeft w:val="0"/>
      <w:marRight w:val="0"/>
      <w:marTop w:val="0"/>
      <w:marBottom w:val="0"/>
      <w:divBdr>
        <w:top w:val="none" w:sz="0" w:space="0" w:color="auto"/>
        <w:left w:val="none" w:sz="0" w:space="0" w:color="auto"/>
        <w:bottom w:val="none" w:sz="0" w:space="0" w:color="auto"/>
        <w:right w:val="none" w:sz="0" w:space="0" w:color="auto"/>
      </w:divBdr>
    </w:div>
    <w:div w:id="240263296">
      <w:bodyDiv w:val="1"/>
      <w:marLeft w:val="0"/>
      <w:marRight w:val="0"/>
      <w:marTop w:val="0"/>
      <w:marBottom w:val="0"/>
      <w:divBdr>
        <w:top w:val="none" w:sz="0" w:space="0" w:color="auto"/>
        <w:left w:val="none" w:sz="0" w:space="0" w:color="auto"/>
        <w:bottom w:val="none" w:sz="0" w:space="0" w:color="auto"/>
        <w:right w:val="none" w:sz="0" w:space="0" w:color="auto"/>
      </w:divBdr>
    </w:div>
    <w:div w:id="358628120">
      <w:bodyDiv w:val="1"/>
      <w:marLeft w:val="0"/>
      <w:marRight w:val="0"/>
      <w:marTop w:val="0"/>
      <w:marBottom w:val="0"/>
      <w:divBdr>
        <w:top w:val="none" w:sz="0" w:space="0" w:color="auto"/>
        <w:left w:val="none" w:sz="0" w:space="0" w:color="auto"/>
        <w:bottom w:val="none" w:sz="0" w:space="0" w:color="auto"/>
        <w:right w:val="none" w:sz="0" w:space="0" w:color="auto"/>
      </w:divBdr>
    </w:div>
    <w:div w:id="369649901">
      <w:bodyDiv w:val="1"/>
      <w:marLeft w:val="0"/>
      <w:marRight w:val="0"/>
      <w:marTop w:val="0"/>
      <w:marBottom w:val="0"/>
      <w:divBdr>
        <w:top w:val="none" w:sz="0" w:space="0" w:color="auto"/>
        <w:left w:val="none" w:sz="0" w:space="0" w:color="auto"/>
        <w:bottom w:val="none" w:sz="0" w:space="0" w:color="auto"/>
        <w:right w:val="none" w:sz="0" w:space="0" w:color="auto"/>
      </w:divBdr>
    </w:div>
    <w:div w:id="395473255">
      <w:bodyDiv w:val="1"/>
      <w:marLeft w:val="0"/>
      <w:marRight w:val="0"/>
      <w:marTop w:val="0"/>
      <w:marBottom w:val="0"/>
      <w:divBdr>
        <w:top w:val="none" w:sz="0" w:space="0" w:color="auto"/>
        <w:left w:val="none" w:sz="0" w:space="0" w:color="auto"/>
        <w:bottom w:val="none" w:sz="0" w:space="0" w:color="auto"/>
        <w:right w:val="none" w:sz="0" w:space="0" w:color="auto"/>
      </w:divBdr>
    </w:div>
    <w:div w:id="405568143">
      <w:bodyDiv w:val="1"/>
      <w:marLeft w:val="0"/>
      <w:marRight w:val="0"/>
      <w:marTop w:val="0"/>
      <w:marBottom w:val="0"/>
      <w:divBdr>
        <w:top w:val="none" w:sz="0" w:space="0" w:color="auto"/>
        <w:left w:val="none" w:sz="0" w:space="0" w:color="auto"/>
        <w:bottom w:val="none" w:sz="0" w:space="0" w:color="auto"/>
        <w:right w:val="none" w:sz="0" w:space="0" w:color="auto"/>
      </w:divBdr>
    </w:div>
    <w:div w:id="527841879">
      <w:bodyDiv w:val="1"/>
      <w:marLeft w:val="0"/>
      <w:marRight w:val="0"/>
      <w:marTop w:val="0"/>
      <w:marBottom w:val="0"/>
      <w:divBdr>
        <w:top w:val="none" w:sz="0" w:space="0" w:color="auto"/>
        <w:left w:val="none" w:sz="0" w:space="0" w:color="auto"/>
        <w:bottom w:val="none" w:sz="0" w:space="0" w:color="auto"/>
        <w:right w:val="none" w:sz="0" w:space="0" w:color="auto"/>
      </w:divBdr>
    </w:div>
    <w:div w:id="583152480">
      <w:bodyDiv w:val="1"/>
      <w:marLeft w:val="0"/>
      <w:marRight w:val="0"/>
      <w:marTop w:val="0"/>
      <w:marBottom w:val="0"/>
      <w:divBdr>
        <w:top w:val="none" w:sz="0" w:space="0" w:color="auto"/>
        <w:left w:val="none" w:sz="0" w:space="0" w:color="auto"/>
        <w:bottom w:val="none" w:sz="0" w:space="0" w:color="auto"/>
        <w:right w:val="none" w:sz="0" w:space="0" w:color="auto"/>
      </w:divBdr>
    </w:div>
    <w:div w:id="910769972">
      <w:bodyDiv w:val="1"/>
      <w:marLeft w:val="0"/>
      <w:marRight w:val="0"/>
      <w:marTop w:val="0"/>
      <w:marBottom w:val="0"/>
      <w:divBdr>
        <w:top w:val="none" w:sz="0" w:space="0" w:color="auto"/>
        <w:left w:val="none" w:sz="0" w:space="0" w:color="auto"/>
        <w:bottom w:val="none" w:sz="0" w:space="0" w:color="auto"/>
        <w:right w:val="none" w:sz="0" w:space="0" w:color="auto"/>
      </w:divBdr>
    </w:div>
    <w:div w:id="930550773">
      <w:bodyDiv w:val="1"/>
      <w:marLeft w:val="0"/>
      <w:marRight w:val="0"/>
      <w:marTop w:val="0"/>
      <w:marBottom w:val="0"/>
      <w:divBdr>
        <w:top w:val="none" w:sz="0" w:space="0" w:color="auto"/>
        <w:left w:val="none" w:sz="0" w:space="0" w:color="auto"/>
        <w:bottom w:val="none" w:sz="0" w:space="0" w:color="auto"/>
        <w:right w:val="none" w:sz="0" w:space="0" w:color="auto"/>
      </w:divBdr>
    </w:div>
    <w:div w:id="1159692226">
      <w:bodyDiv w:val="1"/>
      <w:marLeft w:val="0"/>
      <w:marRight w:val="0"/>
      <w:marTop w:val="0"/>
      <w:marBottom w:val="0"/>
      <w:divBdr>
        <w:top w:val="none" w:sz="0" w:space="0" w:color="auto"/>
        <w:left w:val="none" w:sz="0" w:space="0" w:color="auto"/>
        <w:bottom w:val="none" w:sz="0" w:space="0" w:color="auto"/>
        <w:right w:val="none" w:sz="0" w:space="0" w:color="auto"/>
      </w:divBdr>
    </w:div>
    <w:div w:id="1323118109">
      <w:bodyDiv w:val="1"/>
      <w:marLeft w:val="0"/>
      <w:marRight w:val="0"/>
      <w:marTop w:val="0"/>
      <w:marBottom w:val="0"/>
      <w:divBdr>
        <w:top w:val="none" w:sz="0" w:space="0" w:color="auto"/>
        <w:left w:val="none" w:sz="0" w:space="0" w:color="auto"/>
        <w:bottom w:val="none" w:sz="0" w:space="0" w:color="auto"/>
        <w:right w:val="none" w:sz="0" w:space="0" w:color="auto"/>
      </w:divBdr>
    </w:div>
    <w:div w:id="1409380352">
      <w:bodyDiv w:val="1"/>
      <w:marLeft w:val="0"/>
      <w:marRight w:val="0"/>
      <w:marTop w:val="0"/>
      <w:marBottom w:val="0"/>
      <w:divBdr>
        <w:top w:val="none" w:sz="0" w:space="0" w:color="auto"/>
        <w:left w:val="none" w:sz="0" w:space="0" w:color="auto"/>
        <w:bottom w:val="none" w:sz="0" w:space="0" w:color="auto"/>
        <w:right w:val="none" w:sz="0" w:space="0" w:color="auto"/>
      </w:divBdr>
    </w:div>
    <w:div w:id="1422141447">
      <w:bodyDiv w:val="1"/>
      <w:marLeft w:val="0"/>
      <w:marRight w:val="0"/>
      <w:marTop w:val="0"/>
      <w:marBottom w:val="0"/>
      <w:divBdr>
        <w:top w:val="none" w:sz="0" w:space="0" w:color="auto"/>
        <w:left w:val="none" w:sz="0" w:space="0" w:color="auto"/>
        <w:bottom w:val="none" w:sz="0" w:space="0" w:color="auto"/>
        <w:right w:val="none" w:sz="0" w:space="0" w:color="auto"/>
      </w:divBdr>
    </w:div>
    <w:div w:id="1469778626">
      <w:bodyDiv w:val="1"/>
      <w:marLeft w:val="0"/>
      <w:marRight w:val="0"/>
      <w:marTop w:val="0"/>
      <w:marBottom w:val="0"/>
      <w:divBdr>
        <w:top w:val="none" w:sz="0" w:space="0" w:color="auto"/>
        <w:left w:val="none" w:sz="0" w:space="0" w:color="auto"/>
        <w:bottom w:val="none" w:sz="0" w:space="0" w:color="auto"/>
        <w:right w:val="none" w:sz="0" w:space="0" w:color="auto"/>
      </w:divBdr>
    </w:div>
    <w:div w:id="1491170022">
      <w:bodyDiv w:val="1"/>
      <w:marLeft w:val="0"/>
      <w:marRight w:val="0"/>
      <w:marTop w:val="0"/>
      <w:marBottom w:val="0"/>
      <w:divBdr>
        <w:top w:val="none" w:sz="0" w:space="0" w:color="auto"/>
        <w:left w:val="none" w:sz="0" w:space="0" w:color="auto"/>
        <w:bottom w:val="none" w:sz="0" w:space="0" w:color="auto"/>
        <w:right w:val="none" w:sz="0" w:space="0" w:color="auto"/>
      </w:divBdr>
    </w:div>
    <w:div w:id="1503740593">
      <w:bodyDiv w:val="1"/>
      <w:marLeft w:val="0"/>
      <w:marRight w:val="0"/>
      <w:marTop w:val="0"/>
      <w:marBottom w:val="0"/>
      <w:divBdr>
        <w:top w:val="none" w:sz="0" w:space="0" w:color="auto"/>
        <w:left w:val="none" w:sz="0" w:space="0" w:color="auto"/>
        <w:bottom w:val="none" w:sz="0" w:space="0" w:color="auto"/>
        <w:right w:val="none" w:sz="0" w:space="0" w:color="auto"/>
      </w:divBdr>
    </w:div>
    <w:div w:id="1547063054">
      <w:bodyDiv w:val="1"/>
      <w:marLeft w:val="0"/>
      <w:marRight w:val="0"/>
      <w:marTop w:val="0"/>
      <w:marBottom w:val="0"/>
      <w:divBdr>
        <w:top w:val="none" w:sz="0" w:space="0" w:color="auto"/>
        <w:left w:val="none" w:sz="0" w:space="0" w:color="auto"/>
        <w:bottom w:val="none" w:sz="0" w:space="0" w:color="auto"/>
        <w:right w:val="none" w:sz="0" w:space="0" w:color="auto"/>
      </w:divBdr>
    </w:div>
    <w:div w:id="1578058168">
      <w:bodyDiv w:val="1"/>
      <w:marLeft w:val="0"/>
      <w:marRight w:val="0"/>
      <w:marTop w:val="0"/>
      <w:marBottom w:val="0"/>
      <w:divBdr>
        <w:top w:val="none" w:sz="0" w:space="0" w:color="auto"/>
        <w:left w:val="none" w:sz="0" w:space="0" w:color="auto"/>
        <w:bottom w:val="none" w:sz="0" w:space="0" w:color="auto"/>
        <w:right w:val="none" w:sz="0" w:space="0" w:color="auto"/>
      </w:divBdr>
    </w:div>
    <w:div w:id="1593971324">
      <w:bodyDiv w:val="1"/>
      <w:marLeft w:val="0"/>
      <w:marRight w:val="0"/>
      <w:marTop w:val="0"/>
      <w:marBottom w:val="0"/>
      <w:divBdr>
        <w:top w:val="none" w:sz="0" w:space="0" w:color="auto"/>
        <w:left w:val="none" w:sz="0" w:space="0" w:color="auto"/>
        <w:bottom w:val="none" w:sz="0" w:space="0" w:color="auto"/>
        <w:right w:val="none" w:sz="0" w:space="0" w:color="auto"/>
      </w:divBdr>
    </w:div>
    <w:div w:id="1646272740">
      <w:bodyDiv w:val="1"/>
      <w:marLeft w:val="0"/>
      <w:marRight w:val="0"/>
      <w:marTop w:val="0"/>
      <w:marBottom w:val="0"/>
      <w:divBdr>
        <w:top w:val="none" w:sz="0" w:space="0" w:color="auto"/>
        <w:left w:val="none" w:sz="0" w:space="0" w:color="auto"/>
        <w:bottom w:val="none" w:sz="0" w:space="0" w:color="auto"/>
        <w:right w:val="none" w:sz="0" w:space="0" w:color="auto"/>
      </w:divBdr>
    </w:div>
    <w:div w:id="1654984967">
      <w:bodyDiv w:val="1"/>
      <w:marLeft w:val="0"/>
      <w:marRight w:val="0"/>
      <w:marTop w:val="0"/>
      <w:marBottom w:val="0"/>
      <w:divBdr>
        <w:top w:val="none" w:sz="0" w:space="0" w:color="auto"/>
        <w:left w:val="none" w:sz="0" w:space="0" w:color="auto"/>
        <w:bottom w:val="none" w:sz="0" w:space="0" w:color="auto"/>
        <w:right w:val="none" w:sz="0" w:space="0" w:color="auto"/>
      </w:divBdr>
    </w:div>
    <w:div w:id="1751003208">
      <w:bodyDiv w:val="1"/>
      <w:marLeft w:val="0"/>
      <w:marRight w:val="0"/>
      <w:marTop w:val="0"/>
      <w:marBottom w:val="0"/>
      <w:divBdr>
        <w:top w:val="none" w:sz="0" w:space="0" w:color="auto"/>
        <w:left w:val="none" w:sz="0" w:space="0" w:color="auto"/>
        <w:bottom w:val="none" w:sz="0" w:space="0" w:color="auto"/>
        <w:right w:val="none" w:sz="0" w:space="0" w:color="auto"/>
      </w:divBdr>
    </w:div>
    <w:div w:id="1810896594">
      <w:bodyDiv w:val="1"/>
      <w:marLeft w:val="0"/>
      <w:marRight w:val="0"/>
      <w:marTop w:val="0"/>
      <w:marBottom w:val="0"/>
      <w:divBdr>
        <w:top w:val="none" w:sz="0" w:space="0" w:color="auto"/>
        <w:left w:val="none" w:sz="0" w:space="0" w:color="auto"/>
        <w:bottom w:val="none" w:sz="0" w:space="0" w:color="auto"/>
        <w:right w:val="none" w:sz="0" w:space="0" w:color="auto"/>
      </w:divBdr>
    </w:div>
    <w:div w:id="1818574723">
      <w:bodyDiv w:val="1"/>
      <w:marLeft w:val="0"/>
      <w:marRight w:val="0"/>
      <w:marTop w:val="0"/>
      <w:marBottom w:val="0"/>
      <w:divBdr>
        <w:top w:val="none" w:sz="0" w:space="0" w:color="auto"/>
        <w:left w:val="none" w:sz="0" w:space="0" w:color="auto"/>
        <w:bottom w:val="none" w:sz="0" w:space="0" w:color="auto"/>
        <w:right w:val="none" w:sz="0" w:space="0" w:color="auto"/>
      </w:divBdr>
    </w:div>
    <w:div w:id="1859271271">
      <w:bodyDiv w:val="1"/>
      <w:marLeft w:val="0"/>
      <w:marRight w:val="0"/>
      <w:marTop w:val="0"/>
      <w:marBottom w:val="0"/>
      <w:divBdr>
        <w:top w:val="none" w:sz="0" w:space="0" w:color="auto"/>
        <w:left w:val="none" w:sz="0" w:space="0" w:color="auto"/>
        <w:bottom w:val="none" w:sz="0" w:space="0" w:color="auto"/>
        <w:right w:val="none" w:sz="0" w:space="0" w:color="auto"/>
      </w:divBdr>
    </w:div>
    <w:div w:id="1954242058">
      <w:bodyDiv w:val="1"/>
      <w:marLeft w:val="0"/>
      <w:marRight w:val="0"/>
      <w:marTop w:val="0"/>
      <w:marBottom w:val="0"/>
      <w:divBdr>
        <w:top w:val="none" w:sz="0" w:space="0" w:color="auto"/>
        <w:left w:val="none" w:sz="0" w:space="0" w:color="auto"/>
        <w:bottom w:val="none" w:sz="0" w:space="0" w:color="auto"/>
        <w:right w:val="none" w:sz="0" w:space="0" w:color="auto"/>
      </w:divBdr>
    </w:div>
    <w:div w:id="212383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oter" Target="footer4.xml"/><Relationship Id="rId39" Type="http://schemas.openxmlformats.org/officeDocument/2006/relationships/hyperlink" Target="https://www.eurochild.org/fileadmin/public/05_Library/Thematic_priorities/06_Children_in_Alternative_Care/Eurochild/Eurochild_Publication_-_Children_in_Alternative_Care_-_2nd_Edition_January2010.pdf" TargetMode="External"/><Relationship Id="rId21" Type="http://schemas.openxmlformats.org/officeDocument/2006/relationships/image" Target="media/image9.png"/><Relationship Id="rId34" Type="http://schemas.openxmlformats.org/officeDocument/2006/relationships/chart" Target="charts/chart2.xml"/><Relationship Id="rId42" Type="http://schemas.openxmlformats.org/officeDocument/2006/relationships/chart" Target="charts/chart6.xml"/><Relationship Id="rId47" Type="http://schemas.openxmlformats.org/officeDocument/2006/relationships/hyperlink" Target="https://tinyurl.com/y4zsgbkw" TargetMode="External"/><Relationship Id="rId50" Type="http://schemas.openxmlformats.org/officeDocument/2006/relationships/hyperlink" Target="https://www.government.nl/topics/human-rights/human-rights-in-the-netherlands" TargetMode="External"/><Relationship Id="rId55" Type="http://schemas.openxmlformats.org/officeDocument/2006/relationships/hyperlink" Target="https://tinyurl.com/y4q4auov" TargetMode="External"/><Relationship Id="rId63" Type="http://schemas.openxmlformats.org/officeDocument/2006/relationships/hyperlink" Target="https://tinyurl.com/y2ajta8j" TargetMode="External"/><Relationship Id="rId68" Type="http://schemas.openxmlformats.org/officeDocument/2006/relationships/hyperlink" Target="https://tinyurl.com/y3mk7mcb" TargetMode="External"/><Relationship Id="rId76" Type="http://schemas.openxmlformats.org/officeDocument/2006/relationships/hyperlink" Target="https://www.zorgwijzer.nl/faq/wlz" TargetMode="External"/><Relationship Id="rId7" Type="http://schemas.openxmlformats.org/officeDocument/2006/relationships/settings" Target="settings.xml"/><Relationship Id="rId71" Type="http://schemas.openxmlformats.org/officeDocument/2006/relationships/hyperlink" Target="http://www.kinderenintel.nl/"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eader" Target="header5.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hyperlink" Target="https://www.unicef-irc.org/databases/transmonee/" TargetMode="External"/><Relationship Id="rId40" Type="http://schemas.openxmlformats.org/officeDocument/2006/relationships/chart" Target="charts/chart4.xml"/><Relationship Id="rId45" Type="http://schemas.openxmlformats.org/officeDocument/2006/relationships/image" Target="media/image8.emf"/><Relationship Id="rId53" Type="http://schemas.openxmlformats.org/officeDocument/2006/relationships/hyperlink" Target="https://tinyurl.com/yxzdobhe" TargetMode="External"/><Relationship Id="rId58" Type="http://schemas.openxmlformats.org/officeDocument/2006/relationships/hyperlink" Target="https://tinyurl.com/yxs6tywy" TargetMode="External"/><Relationship Id="rId66" Type="http://schemas.openxmlformats.org/officeDocument/2006/relationships/hyperlink" Target="https://www.ohchr.org/EN/HRBodies/CRC/Pages/Membership.aspx" TargetMode="External"/><Relationship Id="rId74" Type="http://schemas.openxmlformats.org/officeDocument/2006/relationships/hyperlink" Target="https://tinyurl.com/yyt5pz3g"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tinyurl.com/yyf222rg"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6.xml"/><Relationship Id="rId44" Type="http://schemas.openxmlformats.org/officeDocument/2006/relationships/header" Target="header8.xml"/><Relationship Id="rId52" Type="http://schemas.openxmlformats.org/officeDocument/2006/relationships/hyperlink" Target="http://tinyurl.com/y3zje97b" TargetMode="External"/><Relationship Id="rId60" Type="http://schemas.openxmlformats.org/officeDocument/2006/relationships/hyperlink" Target="https://tinyurl.com/y2p26yp4" TargetMode="External"/><Relationship Id="rId65" Type="http://schemas.openxmlformats.org/officeDocument/2006/relationships/hyperlink" Target="https://www.nvm.nl/marktinformatie/marktinformatie" TargetMode="External"/><Relationship Id="rId73" Type="http://schemas.openxmlformats.org/officeDocument/2006/relationships/hyperlink" Target="https://tinyurl.com/y52ap9gu" TargetMode="External"/><Relationship Id="rId78"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hyperlink" Target="https://ec.europa.eu/social/main.jsp?catId=1428&amp;langId=en" TargetMode="External"/><Relationship Id="rId30" Type="http://schemas.openxmlformats.org/officeDocument/2006/relationships/footer" Target="footer5.xml"/><Relationship Id="rId35" Type="http://schemas.openxmlformats.org/officeDocument/2006/relationships/image" Target="media/image7.emf"/><Relationship Id="rId43" Type="http://schemas.openxmlformats.org/officeDocument/2006/relationships/header" Target="header7.xml"/><Relationship Id="rId48" Type="http://schemas.openxmlformats.org/officeDocument/2006/relationships/hyperlink" Target="https://tinyurl.com/yxgg9qux" TargetMode="External"/><Relationship Id="rId56" Type="http://schemas.openxmlformats.org/officeDocument/2006/relationships/hyperlink" Target="https://www.vluchtelingenwerk.nl/feiten-cijfers/cijfers/bescherming-nederland" TargetMode="External"/><Relationship Id="rId64" Type="http://schemas.openxmlformats.org/officeDocument/2006/relationships/hyperlink" Target="https://tinyurl.com/yy2w7ttt" TargetMode="External"/><Relationship Id="rId69" Type="http://schemas.openxmlformats.org/officeDocument/2006/relationships/hyperlink" Target="https://tinyurl.com/y4dz8ccu" TargetMode="External"/><Relationship Id="rId77"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hyperlink" Target="https://www.government.nl/topics/housing/rented-housing" TargetMode="External"/><Relationship Id="rId72" Type="http://schemas.openxmlformats.org/officeDocument/2006/relationships/hyperlink" Target="https://tinyurl.com/y3bddtuu"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chart" Target="charts/chart1.xml"/><Relationship Id="rId38" Type="http://schemas.openxmlformats.org/officeDocument/2006/relationships/hyperlink" Target="http://www.openingdoors.eu/category/resources/" TargetMode="External"/><Relationship Id="rId46" Type="http://schemas.openxmlformats.org/officeDocument/2006/relationships/header" Target="header9.xml"/><Relationship Id="rId59" Type="http://schemas.openxmlformats.org/officeDocument/2006/relationships/hyperlink" Target="https://tinyurl.com/y3m47vq4" TargetMode="External"/><Relationship Id="rId67" Type="http://schemas.openxmlformats.org/officeDocument/2006/relationships/hyperlink" Target="https://www.ohchr.org/en/professionalinterest/pages/crc.aspx" TargetMode="External"/><Relationship Id="rId20" Type="http://schemas.openxmlformats.org/officeDocument/2006/relationships/image" Target="media/image8.png"/><Relationship Id="rId41" Type="http://schemas.openxmlformats.org/officeDocument/2006/relationships/chart" Target="charts/chart5.xml"/><Relationship Id="rId54" Type="http://schemas.openxmlformats.org/officeDocument/2006/relationships/hyperlink" Target="http://tinyurl.com/y5nfpyyb" TargetMode="External"/><Relationship Id="rId62" Type="http://schemas.openxmlformats.org/officeDocument/2006/relationships/hyperlink" Target="https://www.government.nl/topics/youth-policy/youth-care-and-child-protection" TargetMode="External"/><Relationship Id="rId70" Type="http://schemas.openxmlformats.org/officeDocument/2006/relationships/hyperlink" Target="https://www.svb.nl/int/en/kinderbijslag/index.jsp" TargetMode="External"/><Relationship Id="rId75" Type="http://schemas.openxmlformats.org/officeDocument/2006/relationships/hyperlink" Target="https://www.regelhulp.nl/ik-heb-hulp-nodi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hyperlink" Target="http://europa.eu.int/citizensrights/signpost/about/index_en.htm" TargetMode="External"/><Relationship Id="rId36" Type="http://schemas.openxmlformats.org/officeDocument/2006/relationships/chart" Target="charts/chart3.xml"/><Relationship Id="rId49" Type="http://schemas.openxmlformats.org/officeDocument/2006/relationships/hyperlink" Target="https://tinyurl.com/y5m7qkuj" TargetMode="External"/><Relationship Id="rId57" Type="http://schemas.openxmlformats.org/officeDocument/2006/relationships/hyperlink" Target="https://tinyurl.com/y3uzagf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ernment.nl/topics/investing-in-dutch-housing/investing-in-rental-marke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ogdhosting.local\data\RenCBeleid\Groepdata\Regioplan\Data\Project\16179.European%20Social%20Policy%20Network%202016-17%20-B\Rapport\Thematic%203%20-%20Investing%20in%20children%20(12%20mei%2017)\ESPN_children_annex_fina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ogdhosting.local\data\RenCBeleid\Groepdata\Regioplan\Data\Project\16179.European%20Social%20Policy%20Network%202016-17%20-B\Rapport\Thematic%203%20-%20Investing%20in%20children%20(12%20mei%2017)\ESPN_children_annex_fina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nne-catherine\Documents\Child_guarantee_precariou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nne-catherine\Documents\Migrant_Childre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nne-catherine\Documents\Child_guarantee_precariou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nne-catherine\Documents\Child_guarantee_precarious.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10274636830409"/>
          <c:y val="9.9051266428757945E-2"/>
          <c:w val="0.86794980462465521"/>
          <c:h val="0.63733972360737534"/>
        </c:manualLayout>
      </c:layout>
      <c:lineChart>
        <c:grouping val="standard"/>
        <c:varyColors val="0"/>
        <c:ser>
          <c:idx val="0"/>
          <c:order val="0"/>
          <c:tx>
            <c:strRef>
              <c:f>'[ESPN_children_annex_final.xlsx]DATA for figures'!$B$2</c:f>
              <c:strCache>
                <c:ptCount val="1"/>
                <c:pt idx="0">
                  <c:v>AROPE</c:v>
                </c:pt>
              </c:strCache>
            </c:strRef>
          </c:tx>
          <c:spPr>
            <a:ln w="25400">
              <a:solidFill>
                <a:srgbClr val="FABB00"/>
              </a:solidFill>
              <a:prstDash val="solid"/>
            </a:ln>
          </c:spPr>
          <c:marker>
            <c:symbol val="diamond"/>
            <c:size val="6"/>
            <c:spPr>
              <a:solidFill>
                <a:srgbClr val="FABB00"/>
              </a:solidFill>
              <a:ln>
                <a:solidFill>
                  <a:srgbClr val="FABB00"/>
                </a:solidFill>
                <a:prstDash val="solid"/>
              </a:ln>
            </c:spPr>
          </c:marker>
          <c:cat>
            <c:numRef>
              <c:f>'[ESPN_children_annex_final.xlsx]DATA for figures'!$C$1:$N$1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'[ESPN_children_annex_final.xlsx]DATA for figures'!$C$202:$N$202</c:f>
              <c:numCache>
                <c:formatCode>#,##0</c:formatCode>
                <c:ptCount val="12"/>
                <c:pt idx="0">
                  <c:v>2432</c:v>
                </c:pt>
                <c:pt idx="1">
                  <c:v>2483</c:v>
                </c:pt>
                <c:pt idx="2">
                  <c:v>2483</c:v>
                </c:pt>
                <c:pt idx="3">
                  <c:v>2598</c:v>
                </c:pt>
                <c:pt idx="4">
                  <c:v>2492</c:v>
                </c:pt>
                <c:pt idx="5">
                  <c:v>2648</c:v>
                </c:pt>
                <c:pt idx="6">
                  <c:v>2751</c:v>
                </c:pt>
                <c:pt idx="7">
                  <c:v>2744</c:v>
                </c:pt>
              </c:numCache>
            </c:numRef>
          </c:val>
          <c:smooth val="0"/>
          <c:extLst>
            <c:ext xmlns:c16="http://schemas.microsoft.com/office/drawing/2014/chart" uri="{C3380CC4-5D6E-409C-BE32-E72D297353CC}">
              <c16:uniqueId val="{00000000-C81C-4CB9-83C1-C51BD2C82238}"/>
            </c:ext>
          </c:extLst>
        </c:ser>
        <c:ser>
          <c:idx val="1"/>
          <c:order val="1"/>
          <c:tx>
            <c:strRef>
              <c:f>'[ESPN_children_annex_final.xlsx]DATA for figures'!$B$3</c:f>
              <c:strCache>
                <c:ptCount val="1"/>
                <c:pt idx="0">
                  <c:v>AROP</c:v>
                </c:pt>
              </c:strCache>
            </c:strRef>
          </c:tx>
          <c:spPr>
            <a:ln w="25400">
              <a:solidFill>
                <a:srgbClr val="005581"/>
              </a:solidFill>
              <a:prstDash val="solid"/>
            </a:ln>
          </c:spPr>
          <c:marker>
            <c:symbol val="square"/>
            <c:size val="6"/>
            <c:spPr>
              <a:solidFill>
                <a:srgbClr val="005581"/>
              </a:solidFill>
              <a:ln>
                <a:solidFill>
                  <a:srgbClr val="005581"/>
                </a:solidFill>
                <a:prstDash val="solid"/>
              </a:ln>
            </c:spPr>
          </c:marker>
          <c:cat>
            <c:numRef>
              <c:f>'[ESPN_children_annex_final.xlsx]DATA for figures'!$C$1:$N$1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'[ESPN_children_annex_final.xlsx]DATA for figures'!$C$203:$N$203</c:f>
              <c:numCache>
                <c:formatCode>#,##0</c:formatCode>
                <c:ptCount val="12"/>
                <c:pt idx="0">
                  <c:v>1713</c:v>
                </c:pt>
                <c:pt idx="1">
                  <c:v>1816</c:v>
                </c:pt>
                <c:pt idx="2">
                  <c:v>1694</c:v>
                </c:pt>
                <c:pt idx="3">
                  <c:v>1816</c:v>
                </c:pt>
                <c:pt idx="4">
                  <c:v>1678</c:v>
                </c:pt>
                <c:pt idx="5">
                  <c:v>1735</c:v>
                </c:pt>
                <c:pt idx="6">
                  <c:v>1937</c:v>
                </c:pt>
                <c:pt idx="7">
                  <c:v>1945</c:v>
                </c:pt>
              </c:numCache>
            </c:numRef>
          </c:val>
          <c:smooth val="0"/>
          <c:extLst>
            <c:ext xmlns:c16="http://schemas.microsoft.com/office/drawing/2014/chart" uri="{C3380CC4-5D6E-409C-BE32-E72D297353CC}">
              <c16:uniqueId val="{00000001-C81C-4CB9-83C1-C51BD2C82238}"/>
            </c:ext>
          </c:extLst>
        </c:ser>
        <c:ser>
          <c:idx val="2"/>
          <c:order val="2"/>
          <c:tx>
            <c:strRef>
              <c:f>'[ESPN_children_annex_final.xlsx]DATA for figures'!$B$4</c:f>
              <c:strCache>
                <c:ptCount val="1"/>
                <c:pt idx="0">
                  <c:v>SMD</c:v>
                </c:pt>
              </c:strCache>
            </c:strRef>
          </c:tx>
          <c:spPr>
            <a:ln w="25400">
              <a:solidFill>
                <a:srgbClr val="FFF18D"/>
              </a:solidFill>
              <a:prstDash val="solid"/>
            </a:ln>
          </c:spPr>
          <c:marker>
            <c:symbol val="triangle"/>
            <c:size val="6"/>
            <c:spPr>
              <a:solidFill>
                <a:srgbClr val="FFF18D"/>
              </a:solidFill>
              <a:ln>
                <a:solidFill>
                  <a:srgbClr val="FFF18D"/>
                </a:solidFill>
                <a:prstDash val="solid"/>
              </a:ln>
            </c:spPr>
          </c:marker>
          <c:cat>
            <c:numRef>
              <c:f>'[ESPN_children_annex_final.xlsx]DATA for figures'!$C$1:$N$1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'[ESPN_children_annex_final.xlsx]DATA for figures'!$C$204:$N$204</c:f>
              <c:numCache>
                <c:formatCode>#,##0</c:formatCode>
                <c:ptCount val="12"/>
                <c:pt idx="0">
                  <c:v>252</c:v>
                </c:pt>
                <c:pt idx="1">
                  <c:v>237</c:v>
                </c:pt>
                <c:pt idx="2">
                  <c:v>366</c:v>
                </c:pt>
                <c:pt idx="3">
                  <c:v>407</c:v>
                </c:pt>
                <c:pt idx="4">
                  <c:v>387</c:v>
                </c:pt>
                <c:pt idx="5">
                  <c:v>416</c:v>
                </c:pt>
                <c:pt idx="6">
                  <c:v>526</c:v>
                </c:pt>
                <c:pt idx="7">
                  <c:v>429</c:v>
                </c:pt>
              </c:numCache>
            </c:numRef>
          </c:val>
          <c:smooth val="0"/>
          <c:extLst>
            <c:ext xmlns:c16="http://schemas.microsoft.com/office/drawing/2014/chart" uri="{C3380CC4-5D6E-409C-BE32-E72D297353CC}">
              <c16:uniqueId val="{00000002-C81C-4CB9-83C1-C51BD2C82238}"/>
            </c:ext>
          </c:extLst>
        </c:ser>
        <c:ser>
          <c:idx val="3"/>
          <c:order val="3"/>
          <c:tx>
            <c:strRef>
              <c:f>'[ESPN_children_annex_final.xlsx]DATA for figures'!$B$5</c:f>
              <c:strCache>
                <c:ptCount val="1"/>
                <c:pt idx="0">
                  <c:v>QJ hhds</c:v>
                </c:pt>
              </c:strCache>
            </c:strRef>
          </c:tx>
          <c:spPr>
            <a:ln w="25400">
              <a:solidFill>
                <a:srgbClr val="D68B6D"/>
              </a:solidFill>
              <a:prstDash val="solid"/>
            </a:ln>
          </c:spPr>
          <c:marker>
            <c:symbol val="x"/>
            <c:size val="7"/>
            <c:spPr>
              <a:noFill/>
              <a:ln>
                <a:solidFill>
                  <a:srgbClr val="D68B6D"/>
                </a:solidFill>
                <a:prstDash val="solid"/>
              </a:ln>
            </c:spPr>
          </c:marker>
          <c:cat>
            <c:numRef>
              <c:f>'[ESPN_children_annex_final.xlsx]DATA for figures'!$C$1:$N$1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'[ESPN_children_annex_final.xlsx]DATA for figures'!$C$205:$N$205</c:f>
              <c:numCache>
                <c:formatCode>#,##0</c:formatCode>
                <c:ptCount val="12"/>
                <c:pt idx="0">
                  <c:v>1053</c:v>
                </c:pt>
                <c:pt idx="1">
                  <c:v>1083</c:v>
                </c:pt>
                <c:pt idx="2">
                  <c:v>1068</c:v>
                </c:pt>
                <c:pt idx="3">
                  <c:v>1128</c:v>
                </c:pt>
                <c:pt idx="4">
                  <c:v>1133</c:v>
                </c:pt>
                <c:pt idx="5">
                  <c:v>1183</c:v>
                </c:pt>
                <c:pt idx="6">
                  <c:v>1295</c:v>
                </c:pt>
                <c:pt idx="7">
                  <c:v>1298</c:v>
                </c:pt>
              </c:numCache>
            </c:numRef>
          </c:val>
          <c:smooth val="0"/>
          <c:extLst>
            <c:ext xmlns:c16="http://schemas.microsoft.com/office/drawing/2014/chart" uri="{C3380CC4-5D6E-409C-BE32-E72D297353CC}">
              <c16:uniqueId val="{00000003-C81C-4CB9-83C1-C51BD2C82238}"/>
            </c:ext>
          </c:extLst>
        </c:ser>
        <c:dLbls>
          <c:showLegendKey val="0"/>
          <c:showVal val="0"/>
          <c:showCatName val="0"/>
          <c:showSerName val="0"/>
          <c:showPercent val="0"/>
          <c:showBubbleSize val="0"/>
        </c:dLbls>
        <c:marker val="1"/>
        <c:smooth val="0"/>
        <c:axId val="206707712"/>
        <c:axId val="206709888"/>
      </c:lineChart>
      <c:catAx>
        <c:axId val="2067077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nl-NL"/>
          </a:p>
        </c:txPr>
        <c:crossAx val="206709888"/>
        <c:crosses val="autoZero"/>
        <c:auto val="1"/>
        <c:lblAlgn val="ctr"/>
        <c:lblOffset val="100"/>
        <c:tickMarkSkip val="1"/>
        <c:noMultiLvlLbl val="0"/>
      </c:catAx>
      <c:valAx>
        <c:axId val="206709888"/>
        <c:scaling>
          <c:orientation val="minMax"/>
          <c:min val="0"/>
        </c:scaling>
        <c:delete val="0"/>
        <c:axPos val="l"/>
        <c:majorGridlines>
          <c:spPr>
            <a:ln w="3175">
              <a:solidFill>
                <a:srgbClr val="C0C0C0"/>
              </a:solidFill>
              <a:prstDash val="solid"/>
            </a:ln>
          </c:spPr>
        </c:majorGridlines>
        <c:title>
          <c:tx>
            <c:rich>
              <a:bodyPr rot="-5400000" vert="horz"/>
              <a:lstStyle/>
              <a:p>
                <a:pPr>
                  <a:defRPr b="1">
                    <a:solidFill>
                      <a:sysClr val="windowText" lastClr="000000"/>
                    </a:solidFill>
                  </a:defRPr>
                </a:pPr>
                <a:r>
                  <a:rPr lang="en-US" b="1">
                    <a:solidFill>
                      <a:sysClr val="windowText" lastClr="000000"/>
                    </a:solidFill>
                  </a:rPr>
                  <a:t>Thousands</a:t>
                </a:r>
              </a:p>
            </c:rich>
          </c:tx>
          <c:layout>
            <c:manualLayout>
              <c:xMode val="edge"/>
              <c:yMode val="edge"/>
              <c:x val="1.3582302208026779E-2"/>
              <c:y val="0.32265562819514021"/>
            </c:manualLayout>
          </c:layout>
          <c:overlay val="0"/>
        </c:title>
        <c:numFmt formatCode="#\,##0;\-#\,##0" sourceLinked="0"/>
        <c:majorTickMark val="out"/>
        <c:minorTickMark val="none"/>
        <c:tickLblPos val="nextTo"/>
        <c:spPr>
          <a:ln w="3175">
            <a:solidFill>
              <a:schemeClr val="tx1"/>
            </a:solidFill>
            <a:prstDash val="solid"/>
          </a:ln>
        </c:spPr>
        <c:txPr>
          <a:bodyPr rot="0" vert="horz"/>
          <a:lstStyle/>
          <a:p>
            <a:pPr>
              <a:defRPr sz="850" b="0" i="0" u="none" strike="noStrike" baseline="0">
                <a:solidFill>
                  <a:sysClr val="windowText" lastClr="000000"/>
                </a:solidFill>
                <a:latin typeface="Arial"/>
                <a:ea typeface="Arial"/>
                <a:cs typeface="Arial"/>
              </a:defRPr>
            </a:pPr>
            <a:endParaRPr lang="nl-NL"/>
          </a:p>
        </c:txPr>
        <c:crossAx val="206707712"/>
        <c:crosses val="autoZero"/>
        <c:crossBetween val="between"/>
      </c:valAx>
      <c:dTable>
        <c:showHorzBorder val="1"/>
        <c:showVertBorder val="1"/>
        <c:showOutline val="1"/>
        <c:showKeys val="1"/>
        <c:spPr>
          <a:solidFill>
            <a:sysClr val="window" lastClr="FFFFFF"/>
          </a:solidFill>
          <a:ln w="3175">
            <a:solidFill>
              <a:schemeClr val="bg1">
                <a:lumMod val="65000"/>
              </a:schemeClr>
            </a:solidFill>
            <a:prstDash val="solid"/>
          </a:ln>
        </c:spPr>
        <c:txPr>
          <a:bodyPr/>
          <a:lstStyle/>
          <a:p>
            <a:pPr rtl="0">
              <a:defRPr sz="800" b="0" i="0" u="none" strike="noStrike" baseline="0">
                <a:solidFill>
                  <a:sysClr val="windowText" lastClr="000000"/>
                </a:solidFill>
                <a:latin typeface="Arial"/>
                <a:ea typeface="Arial"/>
                <a:cs typeface="Arial"/>
              </a:defRPr>
            </a:pPr>
            <a:endParaRPr lang="nl-NL"/>
          </a:p>
        </c:txPr>
      </c:dTable>
      <c:spPr>
        <a:noFill/>
        <a:ln w="25400">
          <a:noFill/>
        </a:ln>
      </c:spPr>
    </c:plotArea>
    <c:plotVisOnly val="1"/>
    <c:dispBlanksAs val="gap"/>
    <c:showDLblsOverMax val="0"/>
  </c:chart>
  <c:spPr>
    <a:solidFill>
      <a:srgbClr val="FFFFFF"/>
    </a:solidFill>
    <a:ln w="9525">
      <a:solidFill>
        <a:schemeClr val="bg1">
          <a:lumMod val="65000"/>
        </a:schemeClr>
      </a:solidFill>
    </a:ln>
  </c:spPr>
  <c:txPr>
    <a:bodyPr/>
    <a:lstStyle/>
    <a:p>
      <a:pPr>
        <a:defRPr sz="1000" b="0" i="0" u="none" strike="noStrike" baseline="0">
          <a:solidFill>
            <a:srgbClr val="000000"/>
          </a:solidFill>
          <a:latin typeface="Arial"/>
          <a:ea typeface="Arial"/>
          <a:cs typeface="Arial"/>
        </a:defRPr>
      </a:pPr>
      <a:endParaRPr lang="nl-NL"/>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46953245476611"/>
          <c:y val="8.0173379272278092E-2"/>
          <c:w val="0.86794980462465521"/>
          <c:h val="0.63733972360737534"/>
        </c:manualLayout>
      </c:layout>
      <c:lineChart>
        <c:grouping val="standard"/>
        <c:varyColors val="0"/>
        <c:ser>
          <c:idx val="0"/>
          <c:order val="0"/>
          <c:tx>
            <c:strRef>
              <c:f>'[ESPN_children_annex_final.xlsx]DATA for figures'!$B$2</c:f>
              <c:strCache>
                <c:ptCount val="1"/>
                <c:pt idx="0">
                  <c:v>AROPE</c:v>
                </c:pt>
              </c:strCache>
            </c:strRef>
          </c:tx>
          <c:spPr>
            <a:ln w="25400">
              <a:solidFill>
                <a:srgbClr val="FABB00"/>
              </a:solidFill>
              <a:prstDash val="solid"/>
            </a:ln>
          </c:spPr>
          <c:marker>
            <c:symbol val="diamond"/>
            <c:size val="6"/>
            <c:spPr>
              <a:solidFill>
                <a:srgbClr val="FABB00"/>
              </a:solidFill>
              <a:ln>
                <a:solidFill>
                  <a:srgbClr val="FABB00"/>
                </a:solidFill>
                <a:prstDash val="solid"/>
              </a:ln>
            </c:spPr>
          </c:marker>
          <c:cat>
            <c:numRef>
              <c:f>'[ESPN_children_annex_final.xlsx]DATA for figures'!$C$1:$N$1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'[ESPN_children_annex_final.xlsx]DATA for figures'!$C$207:$N$207</c:f>
              <c:numCache>
                <c:formatCode>#,##0</c:formatCode>
                <c:ptCount val="12"/>
                <c:pt idx="0">
                  <c:v>566</c:v>
                </c:pt>
                <c:pt idx="1">
                  <c:v>636</c:v>
                </c:pt>
                <c:pt idx="2">
                  <c:v>611</c:v>
                </c:pt>
                <c:pt idx="3">
                  <c:v>645</c:v>
                </c:pt>
                <c:pt idx="4">
                  <c:v>611</c:v>
                </c:pt>
                <c:pt idx="5">
                  <c:v>604</c:v>
                </c:pt>
                <c:pt idx="6">
                  <c:v>603</c:v>
                </c:pt>
                <c:pt idx="7">
                  <c:v>590</c:v>
                </c:pt>
              </c:numCache>
            </c:numRef>
          </c:val>
          <c:smooth val="0"/>
          <c:extLst>
            <c:ext xmlns:c16="http://schemas.microsoft.com/office/drawing/2014/chart" uri="{C3380CC4-5D6E-409C-BE32-E72D297353CC}">
              <c16:uniqueId val="{00000000-C12B-4CD0-954C-ED3C0C08773D}"/>
            </c:ext>
          </c:extLst>
        </c:ser>
        <c:ser>
          <c:idx val="1"/>
          <c:order val="1"/>
          <c:tx>
            <c:strRef>
              <c:f>'[ESPN_children_annex_final.xlsx]DATA for figures'!$B$3</c:f>
              <c:strCache>
                <c:ptCount val="1"/>
                <c:pt idx="0">
                  <c:v>AROP</c:v>
                </c:pt>
              </c:strCache>
            </c:strRef>
          </c:tx>
          <c:spPr>
            <a:ln w="25400">
              <a:solidFill>
                <a:srgbClr val="005581"/>
              </a:solidFill>
              <a:prstDash val="solid"/>
            </a:ln>
          </c:spPr>
          <c:marker>
            <c:symbol val="square"/>
            <c:size val="6"/>
            <c:spPr>
              <a:solidFill>
                <a:srgbClr val="005581"/>
              </a:solidFill>
              <a:ln>
                <a:solidFill>
                  <a:srgbClr val="005581"/>
                </a:solidFill>
                <a:prstDash val="solid"/>
              </a:ln>
            </c:spPr>
          </c:marker>
          <c:cat>
            <c:numRef>
              <c:f>'[ESPN_children_annex_final.xlsx]DATA for figures'!$C$1:$N$1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'[ESPN_children_annex_final.xlsx]DATA for figures'!$C$208:$N$208</c:f>
              <c:numCache>
                <c:formatCode>#,##0</c:formatCode>
                <c:ptCount val="12"/>
                <c:pt idx="0">
                  <c:v>470</c:v>
                </c:pt>
                <c:pt idx="1">
                  <c:v>560</c:v>
                </c:pt>
                <c:pt idx="2">
                  <c:v>495</c:v>
                </c:pt>
                <c:pt idx="3">
                  <c:v>556</c:v>
                </c:pt>
                <c:pt idx="4">
                  <c:v>478</c:v>
                </c:pt>
                <c:pt idx="5">
                  <c:v>447</c:v>
                </c:pt>
                <c:pt idx="6">
                  <c:v>483</c:v>
                </c:pt>
                <c:pt idx="7">
                  <c:v>494</c:v>
                </c:pt>
              </c:numCache>
            </c:numRef>
          </c:val>
          <c:smooth val="0"/>
          <c:extLst>
            <c:ext xmlns:c16="http://schemas.microsoft.com/office/drawing/2014/chart" uri="{C3380CC4-5D6E-409C-BE32-E72D297353CC}">
              <c16:uniqueId val="{00000001-C12B-4CD0-954C-ED3C0C08773D}"/>
            </c:ext>
          </c:extLst>
        </c:ser>
        <c:ser>
          <c:idx val="2"/>
          <c:order val="2"/>
          <c:tx>
            <c:strRef>
              <c:f>'[ESPN_children_annex_final.xlsx]DATA for figures'!$B$4</c:f>
              <c:strCache>
                <c:ptCount val="1"/>
                <c:pt idx="0">
                  <c:v>SMD</c:v>
                </c:pt>
              </c:strCache>
            </c:strRef>
          </c:tx>
          <c:spPr>
            <a:ln w="25400">
              <a:solidFill>
                <a:srgbClr val="FFF18D"/>
              </a:solidFill>
              <a:prstDash val="solid"/>
            </a:ln>
          </c:spPr>
          <c:marker>
            <c:symbol val="triangle"/>
            <c:size val="6"/>
            <c:spPr>
              <a:solidFill>
                <a:srgbClr val="FFF18D"/>
              </a:solidFill>
              <a:ln>
                <a:solidFill>
                  <a:srgbClr val="FFF18D"/>
                </a:solidFill>
                <a:prstDash val="solid"/>
              </a:ln>
            </c:spPr>
          </c:marker>
          <c:cat>
            <c:numRef>
              <c:f>'[ESPN_children_annex_final.xlsx]DATA for figures'!$C$1:$N$1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'[ESPN_children_annex_final.xlsx]DATA for figures'!$C$209:$N$209</c:f>
              <c:numCache>
                <c:formatCode>#,##0</c:formatCode>
                <c:ptCount val="12"/>
                <c:pt idx="0">
                  <c:v>82</c:v>
                </c:pt>
                <c:pt idx="1">
                  <c:v>56</c:v>
                </c:pt>
                <c:pt idx="2">
                  <c:v>72</c:v>
                </c:pt>
                <c:pt idx="3">
                  <c:v>104</c:v>
                </c:pt>
                <c:pt idx="4">
                  <c:v>119</c:v>
                </c:pt>
                <c:pt idx="5">
                  <c:v>80</c:v>
                </c:pt>
                <c:pt idx="6">
                  <c:v>130</c:v>
                </c:pt>
                <c:pt idx="7">
                  <c:v>91</c:v>
                </c:pt>
              </c:numCache>
            </c:numRef>
          </c:val>
          <c:smooth val="0"/>
          <c:extLst>
            <c:ext xmlns:c16="http://schemas.microsoft.com/office/drawing/2014/chart" uri="{C3380CC4-5D6E-409C-BE32-E72D297353CC}">
              <c16:uniqueId val="{00000002-C12B-4CD0-954C-ED3C0C08773D}"/>
            </c:ext>
          </c:extLst>
        </c:ser>
        <c:ser>
          <c:idx val="3"/>
          <c:order val="3"/>
          <c:tx>
            <c:strRef>
              <c:f>'[ESPN_children_annex_final.xlsx]DATA for figures'!$B$5</c:f>
              <c:strCache>
                <c:ptCount val="1"/>
                <c:pt idx="0">
                  <c:v>QJ hhds</c:v>
                </c:pt>
              </c:strCache>
            </c:strRef>
          </c:tx>
          <c:spPr>
            <a:ln w="25400">
              <a:solidFill>
                <a:srgbClr val="D68B6D"/>
              </a:solidFill>
              <a:prstDash val="solid"/>
            </a:ln>
          </c:spPr>
          <c:marker>
            <c:symbol val="x"/>
            <c:size val="7"/>
            <c:spPr>
              <a:noFill/>
              <a:ln>
                <a:solidFill>
                  <a:srgbClr val="D68B6D"/>
                </a:solidFill>
                <a:prstDash val="solid"/>
              </a:ln>
            </c:spPr>
          </c:marker>
          <c:cat>
            <c:numRef>
              <c:f>'[ESPN_children_annex_final.xlsx]DATA for figures'!$C$1:$N$1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'[ESPN_children_annex_final.xlsx]DATA for figures'!$C$210:$N$210</c:f>
              <c:numCache>
                <c:formatCode>#,##0</c:formatCode>
                <c:ptCount val="12"/>
                <c:pt idx="0">
                  <c:v>186</c:v>
                </c:pt>
                <c:pt idx="1">
                  <c:v>197</c:v>
                </c:pt>
                <c:pt idx="2">
                  <c:v>211</c:v>
                </c:pt>
                <c:pt idx="3">
                  <c:v>227</c:v>
                </c:pt>
                <c:pt idx="4">
                  <c:v>232</c:v>
                </c:pt>
                <c:pt idx="5">
                  <c:v>227</c:v>
                </c:pt>
                <c:pt idx="6">
                  <c:v>256</c:v>
                </c:pt>
                <c:pt idx="7">
                  <c:v>227</c:v>
                </c:pt>
              </c:numCache>
            </c:numRef>
          </c:val>
          <c:smooth val="0"/>
          <c:extLst>
            <c:ext xmlns:c16="http://schemas.microsoft.com/office/drawing/2014/chart" uri="{C3380CC4-5D6E-409C-BE32-E72D297353CC}">
              <c16:uniqueId val="{00000003-C12B-4CD0-954C-ED3C0C08773D}"/>
            </c:ext>
          </c:extLst>
        </c:ser>
        <c:dLbls>
          <c:showLegendKey val="0"/>
          <c:showVal val="0"/>
          <c:showCatName val="0"/>
          <c:showSerName val="0"/>
          <c:showPercent val="0"/>
          <c:showBubbleSize val="0"/>
        </c:dLbls>
        <c:marker val="1"/>
        <c:smooth val="0"/>
        <c:axId val="206740864"/>
        <c:axId val="206743040"/>
      </c:lineChart>
      <c:catAx>
        <c:axId val="2067408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nl-NL"/>
          </a:p>
        </c:txPr>
        <c:crossAx val="206743040"/>
        <c:crosses val="autoZero"/>
        <c:auto val="1"/>
        <c:lblAlgn val="ctr"/>
        <c:lblOffset val="100"/>
        <c:tickMarkSkip val="1"/>
        <c:noMultiLvlLbl val="0"/>
      </c:catAx>
      <c:valAx>
        <c:axId val="206743040"/>
        <c:scaling>
          <c:orientation val="minMax"/>
          <c:min val="0"/>
        </c:scaling>
        <c:delete val="0"/>
        <c:axPos val="l"/>
        <c:majorGridlines>
          <c:spPr>
            <a:ln w="3175">
              <a:solidFill>
                <a:srgbClr val="C0C0C0"/>
              </a:solidFill>
              <a:prstDash val="solid"/>
            </a:ln>
          </c:spPr>
        </c:majorGridlines>
        <c:title>
          <c:tx>
            <c:rich>
              <a:bodyPr rot="-5400000" vert="horz"/>
              <a:lstStyle/>
              <a:p>
                <a:pPr>
                  <a:defRPr b="1">
                    <a:solidFill>
                      <a:sysClr val="windowText" lastClr="000000"/>
                    </a:solidFill>
                  </a:defRPr>
                </a:pPr>
                <a:r>
                  <a:rPr lang="en-US" b="1">
                    <a:solidFill>
                      <a:sysClr val="windowText" lastClr="000000"/>
                    </a:solidFill>
                  </a:rPr>
                  <a:t>Thousands</a:t>
                </a:r>
              </a:p>
            </c:rich>
          </c:tx>
          <c:layout>
            <c:manualLayout>
              <c:xMode val="edge"/>
              <c:yMode val="edge"/>
              <c:x val="1.3582302208026779E-2"/>
              <c:y val="0.32265562819514021"/>
            </c:manualLayout>
          </c:layout>
          <c:overlay val="0"/>
        </c:title>
        <c:numFmt formatCode="#\,##0;\-#\,##0" sourceLinked="0"/>
        <c:majorTickMark val="out"/>
        <c:minorTickMark val="none"/>
        <c:tickLblPos val="nextTo"/>
        <c:spPr>
          <a:ln w="3175">
            <a:solidFill>
              <a:schemeClr val="tx1"/>
            </a:solidFill>
            <a:prstDash val="solid"/>
          </a:ln>
        </c:spPr>
        <c:txPr>
          <a:bodyPr rot="0" vert="horz"/>
          <a:lstStyle/>
          <a:p>
            <a:pPr>
              <a:defRPr sz="850" b="0" i="0" u="none" strike="noStrike" baseline="0">
                <a:solidFill>
                  <a:sysClr val="windowText" lastClr="000000"/>
                </a:solidFill>
                <a:latin typeface="Arial"/>
                <a:ea typeface="Arial"/>
                <a:cs typeface="Arial"/>
              </a:defRPr>
            </a:pPr>
            <a:endParaRPr lang="nl-NL"/>
          </a:p>
        </c:txPr>
        <c:crossAx val="206740864"/>
        <c:crosses val="autoZero"/>
        <c:crossBetween val="between"/>
      </c:valAx>
      <c:dTable>
        <c:showHorzBorder val="1"/>
        <c:showVertBorder val="1"/>
        <c:showOutline val="1"/>
        <c:showKeys val="1"/>
        <c:spPr>
          <a:solidFill>
            <a:sysClr val="window" lastClr="FFFFFF"/>
          </a:solidFill>
          <a:ln w="3175">
            <a:solidFill>
              <a:schemeClr val="bg1">
                <a:lumMod val="65000"/>
              </a:schemeClr>
            </a:solidFill>
            <a:prstDash val="solid"/>
          </a:ln>
        </c:spPr>
        <c:txPr>
          <a:bodyPr/>
          <a:lstStyle/>
          <a:p>
            <a:pPr rtl="0">
              <a:defRPr sz="800" b="0" i="0" u="none" strike="noStrike" baseline="0">
                <a:solidFill>
                  <a:sysClr val="windowText" lastClr="000000"/>
                </a:solidFill>
                <a:latin typeface="Arial"/>
                <a:ea typeface="Arial"/>
                <a:cs typeface="Arial"/>
              </a:defRPr>
            </a:pPr>
            <a:endParaRPr lang="nl-NL"/>
          </a:p>
        </c:txPr>
      </c:dTable>
      <c:spPr>
        <a:noFill/>
        <a:ln w="25400">
          <a:noFill/>
        </a:ln>
      </c:spPr>
    </c:plotArea>
    <c:plotVisOnly val="1"/>
    <c:dispBlanksAs val="gap"/>
    <c:showDLblsOverMax val="0"/>
  </c:chart>
  <c:spPr>
    <a:solidFill>
      <a:srgbClr val="FFFFFF"/>
    </a:solidFill>
    <a:ln w="9525">
      <a:solidFill>
        <a:schemeClr val="bg1">
          <a:lumMod val="65000"/>
        </a:schemeClr>
      </a:solidFill>
    </a:ln>
  </c:spPr>
  <c:txPr>
    <a:bodyPr/>
    <a:lstStyle/>
    <a:p>
      <a:pPr>
        <a:defRPr sz="1000" b="0" i="0" u="none" strike="noStrike" baseline="0">
          <a:solidFill>
            <a:srgbClr val="000000"/>
          </a:solidFill>
          <a:latin typeface="Arial"/>
          <a:ea typeface="Arial"/>
          <a:cs typeface="Arial"/>
        </a:defRPr>
      </a:pPr>
      <a:endParaRPr lang="nl-NL"/>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precarious_size!$K$3</c:f>
              <c:strCache>
                <c:ptCount val="1"/>
                <c:pt idx="0">
                  <c:v>% of children living in single-adult household</c:v>
                </c:pt>
              </c:strCache>
            </c:strRef>
          </c:tx>
          <c:spPr>
            <a:solidFill>
              <a:schemeClr val="accent1"/>
            </a:solidFill>
            <a:ln>
              <a:noFill/>
            </a:ln>
            <a:effectLst/>
          </c:spPr>
          <c:invertIfNegative val="0"/>
          <c:dLbls>
            <c:dLbl>
              <c:idx val="14"/>
              <c:layout>
                <c:manualLayout>
                  <c:x val="-2.1777003484320556E-3"/>
                  <c:y val="3.2541490400260331E-2"/>
                </c:manualLayout>
              </c:layout>
              <c:tx>
                <c:rich>
                  <a:bodyPr/>
                  <a:lstStyle/>
                  <a:p>
                    <a:r>
                      <a:rPr lang="en-US"/>
                      <a:t>10,9</a:t>
                    </a:r>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293-43CB-AC22-242570B5600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precarious_size!$J$4:$J$31</c:f>
              <c:strCache>
                <c:ptCount val="28"/>
                <c:pt idx="0">
                  <c:v>HR</c:v>
                </c:pt>
                <c:pt idx="1">
                  <c:v>SK</c:v>
                </c:pt>
                <c:pt idx="2">
                  <c:v>RO</c:v>
                </c:pt>
                <c:pt idx="3">
                  <c:v>PL</c:v>
                </c:pt>
                <c:pt idx="4">
                  <c:v>EL</c:v>
                </c:pt>
                <c:pt idx="5">
                  <c:v>CY</c:v>
                </c:pt>
                <c:pt idx="6">
                  <c:v>BG</c:v>
                </c:pt>
                <c:pt idx="7">
                  <c:v>ES</c:v>
                </c:pt>
                <c:pt idx="8">
                  <c:v>SI</c:v>
                </c:pt>
                <c:pt idx="9">
                  <c:v>IT</c:v>
                </c:pt>
                <c:pt idx="10">
                  <c:v>HU</c:v>
                </c:pt>
                <c:pt idx="11">
                  <c:v>CZ</c:v>
                </c:pt>
                <c:pt idx="12">
                  <c:v>PT</c:v>
                </c:pt>
                <c:pt idx="13">
                  <c:v>EE</c:v>
                </c:pt>
                <c:pt idx="14">
                  <c:v>NL</c:v>
                </c:pt>
                <c:pt idx="15">
                  <c:v>MT</c:v>
                </c:pt>
                <c:pt idx="16">
                  <c:v>LU</c:v>
                </c:pt>
                <c:pt idx="17">
                  <c:v>FI</c:v>
                </c:pt>
                <c:pt idx="18">
                  <c:v>IE</c:v>
                </c:pt>
                <c:pt idx="19">
                  <c:v>AT</c:v>
                </c:pt>
                <c:pt idx="20">
                  <c:v>LT</c:v>
                </c:pt>
                <c:pt idx="21">
                  <c:v>DE</c:v>
                </c:pt>
                <c:pt idx="22">
                  <c:v>FR</c:v>
                </c:pt>
                <c:pt idx="23">
                  <c:v>LV</c:v>
                </c:pt>
                <c:pt idx="24">
                  <c:v>BE</c:v>
                </c:pt>
                <c:pt idx="25">
                  <c:v>DK</c:v>
                </c:pt>
                <c:pt idx="26">
                  <c:v>SE</c:v>
                </c:pt>
                <c:pt idx="27">
                  <c:v>UK</c:v>
                </c:pt>
              </c:strCache>
            </c:strRef>
          </c:cat>
          <c:val>
            <c:numRef>
              <c:f>precarious_size!$K$4:$K$31</c:f>
              <c:numCache>
                <c:formatCode>General</c:formatCode>
                <c:ptCount val="28"/>
                <c:pt idx="0">
                  <c:v>3.1459000000000001</c:v>
                </c:pt>
                <c:pt idx="1">
                  <c:v>3.4188999999999998</c:v>
                </c:pt>
                <c:pt idx="2">
                  <c:v>3.5697000000000001</c:v>
                </c:pt>
                <c:pt idx="3">
                  <c:v>3.9075000000000002</c:v>
                </c:pt>
                <c:pt idx="4">
                  <c:v>4.0240999999999998</c:v>
                </c:pt>
                <c:pt idx="5">
                  <c:v>7.1859000000000002</c:v>
                </c:pt>
                <c:pt idx="6">
                  <c:v>8.1160999999999994</c:v>
                </c:pt>
                <c:pt idx="7">
                  <c:v>8.1675000000000004</c:v>
                </c:pt>
                <c:pt idx="8">
                  <c:v>8.1880000000000006</c:v>
                </c:pt>
                <c:pt idx="9">
                  <c:v>9.7721</c:v>
                </c:pt>
                <c:pt idx="10">
                  <c:v>10.497199999999999</c:v>
                </c:pt>
                <c:pt idx="11">
                  <c:v>10.6396</c:v>
                </c:pt>
                <c:pt idx="12">
                  <c:v>10.856199999999999</c:v>
                </c:pt>
                <c:pt idx="13">
                  <c:v>10.8688</c:v>
                </c:pt>
                <c:pt idx="14">
                  <c:v>10.906000000000001</c:v>
                </c:pt>
                <c:pt idx="15">
                  <c:v>11.134399999999999</c:v>
                </c:pt>
                <c:pt idx="16">
                  <c:v>11.2319</c:v>
                </c:pt>
                <c:pt idx="17">
                  <c:v>11.9665</c:v>
                </c:pt>
                <c:pt idx="18">
                  <c:v>12.1967</c:v>
                </c:pt>
                <c:pt idx="19">
                  <c:v>12.3306</c:v>
                </c:pt>
                <c:pt idx="20">
                  <c:v>13.731199999999999</c:v>
                </c:pt>
                <c:pt idx="21">
                  <c:v>13.7431</c:v>
                </c:pt>
                <c:pt idx="22">
                  <c:v>14.014099999999999</c:v>
                </c:pt>
                <c:pt idx="23">
                  <c:v>14.138999999999999</c:v>
                </c:pt>
                <c:pt idx="24">
                  <c:v>14.713699999999999</c:v>
                </c:pt>
                <c:pt idx="25">
                  <c:v>15.878399999999999</c:v>
                </c:pt>
                <c:pt idx="26">
                  <c:v>15.9724</c:v>
                </c:pt>
                <c:pt idx="27">
                  <c:v>18.268999999999998</c:v>
                </c:pt>
              </c:numCache>
            </c:numRef>
          </c:val>
          <c:extLst>
            <c:ext xmlns:c16="http://schemas.microsoft.com/office/drawing/2014/chart" uri="{C3380CC4-5D6E-409C-BE32-E72D297353CC}">
              <c16:uniqueId val="{00000001-9293-43CB-AC22-242570B5600F}"/>
            </c:ext>
          </c:extLst>
        </c:ser>
        <c:dLbls>
          <c:showLegendKey val="0"/>
          <c:showVal val="0"/>
          <c:showCatName val="0"/>
          <c:showSerName val="0"/>
          <c:showPercent val="0"/>
          <c:showBubbleSize val="0"/>
        </c:dLbls>
        <c:gapWidth val="219"/>
        <c:overlap val="-27"/>
        <c:axId val="206919936"/>
        <c:axId val="206925824"/>
      </c:barChart>
      <c:lineChart>
        <c:grouping val="standard"/>
        <c:varyColors val="0"/>
        <c:ser>
          <c:idx val="1"/>
          <c:order val="1"/>
          <c:tx>
            <c:strRef>
              <c:f>precarious_size!$L$3</c:f>
              <c:strCache>
                <c:ptCount val="1"/>
                <c:pt idx="0">
                  <c:v>% of children living in single-adult household suffering from poverty or deprivation</c:v>
                </c:pt>
              </c:strCache>
            </c:strRef>
          </c:tx>
          <c:spPr>
            <a:ln w="28575" cap="rnd">
              <a:solidFill>
                <a:schemeClr val="accent2"/>
              </a:solidFill>
              <a:round/>
            </a:ln>
            <a:effectLst/>
          </c:spPr>
          <c:marker>
            <c:symbol val="none"/>
          </c:marker>
          <c:dLbls>
            <c:dLbl>
              <c:idx val="14"/>
              <c:layout>
                <c:manualLayout>
                  <c:x val="-3.9198606271777001E-2"/>
                  <c:y val="9.762447120078099E-3"/>
                </c:manualLayout>
              </c:layout>
              <c:tx>
                <c:rich>
                  <a:bodyPr/>
                  <a:lstStyle/>
                  <a:p>
                    <a:r>
                      <a:rPr lang="en-US"/>
                      <a:t>44,7</a:t>
                    </a:r>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293-43CB-AC22-242570B5600F}"/>
                </c:ext>
              </c:extLst>
            </c:dLbl>
            <c:spPr>
              <a:noFill/>
              <a:ln>
                <a:noFill/>
              </a:ln>
              <a:effectLst/>
            </c:sp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strRef>
              <c:f>precarious_size!$J$4:$J$31</c:f>
              <c:strCache>
                <c:ptCount val="28"/>
                <c:pt idx="0">
                  <c:v>HR</c:v>
                </c:pt>
                <c:pt idx="1">
                  <c:v>SK</c:v>
                </c:pt>
                <c:pt idx="2">
                  <c:v>RO</c:v>
                </c:pt>
                <c:pt idx="3">
                  <c:v>PL</c:v>
                </c:pt>
                <c:pt idx="4">
                  <c:v>EL</c:v>
                </c:pt>
                <c:pt idx="5">
                  <c:v>CY</c:v>
                </c:pt>
                <c:pt idx="6">
                  <c:v>BG</c:v>
                </c:pt>
                <c:pt idx="7">
                  <c:v>ES</c:v>
                </c:pt>
                <c:pt idx="8">
                  <c:v>SI</c:v>
                </c:pt>
                <c:pt idx="9">
                  <c:v>IT</c:v>
                </c:pt>
                <c:pt idx="10">
                  <c:v>HU</c:v>
                </c:pt>
                <c:pt idx="11">
                  <c:v>CZ</c:v>
                </c:pt>
                <c:pt idx="12">
                  <c:v>PT</c:v>
                </c:pt>
                <c:pt idx="13">
                  <c:v>EE</c:v>
                </c:pt>
                <c:pt idx="14">
                  <c:v>NL</c:v>
                </c:pt>
                <c:pt idx="15">
                  <c:v>MT</c:v>
                </c:pt>
                <c:pt idx="16">
                  <c:v>LU</c:v>
                </c:pt>
                <c:pt idx="17">
                  <c:v>FI</c:v>
                </c:pt>
                <c:pt idx="18">
                  <c:v>IE</c:v>
                </c:pt>
                <c:pt idx="19">
                  <c:v>AT</c:v>
                </c:pt>
                <c:pt idx="20">
                  <c:v>LT</c:v>
                </c:pt>
                <c:pt idx="21">
                  <c:v>DE</c:v>
                </c:pt>
                <c:pt idx="22">
                  <c:v>FR</c:v>
                </c:pt>
                <c:pt idx="23">
                  <c:v>LV</c:v>
                </c:pt>
                <c:pt idx="24">
                  <c:v>BE</c:v>
                </c:pt>
                <c:pt idx="25">
                  <c:v>DK</c:v>
                </c:pt>
                <c:pt idx="26">
                  <c:v>SE</c:v>
                </c:pt>
                <c:pt idx="27">
                  <c:v>UK</c:v>
                </c:pt>
              </c:strCache>
            </c:strRef>
          </c:cat>
          <c:val>
            <c:numRef>
              <c:f>precarious_size!$L$4:$L$31</c:f>
              <c:numCache>
                <c:formatCode>General</c:formatCode>
                <c:ptCount val="28"/>
                <c:pt idx="0">
                  <c:v>53.510199999999998</c:v>
                </c:pt>
                <c:pt idx="1">
                  <c:v>55.154699999999998</c:v>
                </c:pt>
                <c:pt idx="2">
                  <c:v>94.009600000000006</c:v>
                </c:pt>
                <c:pt idx="3">
                  <c:v>56.069499999999998</c:v>
                </c:pt>
                <c:pt idx="4">
                  <c:v>67.118200000000002</c:v>
                </c:pt>
                <c:pt idx="5">
                  <c:v>74.048599999999993</c:v>
                </c:pt>
                <c:pt idx="6">
                  <c:v>85.917000000000002</c:v>
                </c:pt>
                <c:pt idx="7">
                  <c:v>55.391800000000003</c:v>
                </c:pt>
                <c:pt idx="8">
                  <c:v>36.900300000000001</c:v>
                </c:pt>
                <c:pt idx="9">
                  <c:v>53.899799999999999</c:v>
                </c:pt>
                <c:pt idx="10">
                  <c:v>83.641099999999994</c:v>
                </c:pt>
                <c:pt idx="11">
                  <c:v>53.635899999999999</c:v>
                </c:pt>
                <c:pt idx="12">
                  <c:v>70.7577</c:v>
                </c:pt>
                <c:pt idx="13">
                  <c:v>48.8324</c:v>
                </c:pt>
                <c:pt idx="14">
                  <c:v>44.734099999999998</c:v>
                </c:pt>
                <c:pt idx="15">
                  <c:v>66.886499999999998</c:v>
                </c:pt>
                <c:pt idx="16">
                  <c:v>56.113</c:v>
                </c:pt>
                <c:pt idx="17">
                  <c:v>30.911199999999994</c:v>
                </c:pt>
                <c:pt idx="18">
                  <c:v>66.531499999999994</c:v>
                </c:pt>
                <c:pt idx="19">
                  <c:v>55.207700000000003</c:v>
                </c:pt>
                <c:pt idx="20">
                  <c:v>63.731499999999997</c:v>
                </c:pt>
                <c:pt idx="21">
                  <c:v>52.910499999999999</c:v>
                </c:pt>
                <c:pt idx="22">
                  <c:v>50.408799999999999</c:v>
                </c:pt>
                <c:pt idx="23">
                  <c:v>68.294700000000006</c:v>
                </c:pt>
                <c:pt idx="24">
                  <c:v>52.984000000000002</c:v>
                </c:pt>
                <c:pt idx="25">
                  <c:v>22.777900000000002</c:v>
                </c:pt>
                <c:pt idx="26">
                  <c:v>42.779600000000002</c:v>
                </c:pt>
                <c:pt idx="27">
                  <c:v>56.146900000000002</c:v>
                </c:pt>
              </c:numCache>
            </c:numRef>
          </c:val>
          <c:smooth val="0"/>
          <c:extLst>
            <c:ext xmlns:c16="http://schemas.microsoft.com/office/drawing/2014/chart" uri="{C3380CC4-5D6E-409C-BE32-E72D297353CC}">
              <c16:uniqueId val="{00000003-9293-43CB-AC22-242570B5600F}"/>
            </c:ext>
          </c:extLst>
        </c:ser>
        <c:dLbls>
          <c:showLegendKey val="0"/>
          <c:showVal val="0"/>
          <c:showCatName val="0"/>
          <c:showSerName val="0"/>
          <c:showPercent val="0"/>
          <c:showBubbleSize val="0"/>
        </c:dLbls>
        <c:marker val="1"/>
        <c:smooth val="0"/>
        <c:axId val="206928896"/>
        <c:axId val="206927360"/>
      </c:lineChart>
      <c:catAx>
        <c:axId val="20691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6925824"/>
        <c:crosses val="autoZero"/>
        <c:auto val="1"/>
        <c:lblAlgn val="ctr"/>
        <c:lblOffset val="100"/>
        <c:noMultiLvlLbl val="0"/>
      </c:catAx>
      <c:valAx>
        <c:axId val="20692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6919936"/>
        <c:crosses val="autoZero"/>
        <c:crossBetween val="between"/>
      </c:valAx>
      <c:valAx>
        <c:axId val="20692736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6928896"/>
        <c:crosses val="max"/>
        <c:crossBetween val="between"/>
      </c:valAx>
      <c:catAx>
        <c:axId val="206928896"/>
        <c:scaling>
          <c:orientation val="minMax"/>
        </c:scaling>
        <c:delete val="1"/>
        <c:axPos val="b"/>
        <c:numFmt formatCode="General" sourceLinked="1"/>
        <c:majorTickMark val="out"/>
        <c:minorTickMark val="none"/>
        <c:tickLblPos val="nextTo"/>
        <c:crossAx val="2069273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LFS</c:v>
          </c:tx>
          <c:spPr>
            <a:solidFill>
              <a:schemeClr val="accent1"/>
            </a:solidFill>
            <a:ln>
              <a:noFill/>
            </a:ln>
            <a:effectLst/>
          </c:spPr>
          <c:invertIfNegative val="0"/>
          <c:dLbls>
            <c:dLbl>
              <c:idx val="2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5C-4CA4-A25D-9D5C5CB90AA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denominateur!$A$2:$A$29</c:f>
              <c:strCache>
                <c:ptCount val="28"/>
                <c:pt idx="0">
                  <c:v>RO</c:v>
                </c:pt>
                <c:pt idx="1">
                  <c:v>PL</c:v>
                </c:pt>
                <c:pt idx="2">
                  <c:v>BG</c:v>
                </c:pt>
                <c:pt idx="3">
                  <c:v>SK</c:v>
                </c:pt>
                <c:pt idx="4">
                  <c:v>HU</c:v>
                </c:pt>
                <c:pt idx="5">
                  <c:v>FI</c:v>
                </c:pt>
                <c:pt idx="6">
                  <c:v>CZ</c:v>
                </c:pt>
                <c:pt idx="7">
                  <c:v>LT</c:v>
                </c:pt>
                <c:pt idx="8">
                  <c:v>EE</c:v>
                </c:pt>
                <c:pt idx="9">
                  <c:v>LV</c:v>
                </c:pt>
                <c:pt idx="10">
                  <c:v>MT</c:v>
                </c:pt>
                <c:pt idx="11">
                  <c:v>IE</c:v>
                </c:pt>
                <c:pt idx="12">
                  <c:v>EL</c:v>
                </c:pt>
                <c:pt idx="13">
                  <c:v>SI</c:v>
                </c:pt>
                <c:pt idx="14">
                  <c:v>PT</c:v>
                </c:pt>
                <c:pt idx="15">
                  <c:v>DK</c:v>
                </c:pt>
                <c:pt idx="16">
                  <c:v>HR</c:v>
                </c:pt>
                <c:pt idx="17">
                  <c:v>ES</c:v>
                </c:pt>
                <c:pt idx="18">
                  <c:v>IT</c:v>
                </c:pt>
                <c:pt idx="19">
                  <c:v>LU</c:v>
                </c:pt>
                <c:pt idx="20">
                  <c:v>NL</c:v>
                </c:pt>
                <c:pt idx="21">
                  <c:v>CY</c:v>
                </c:pt>
                <c:pt idx="22">
                  <c:v>FR</c:v>
                </c:pt>
                <c:pt idx="23">
                  <c:v>UK</c:v>
                </c:pt>
                <c:pt idx="24">
                  <c:v>BE</c:v>
                </c:pt>
                <c:pt idx="25">
                  <c:v>DE</c:v>
                </c:pt>
                <c:pt idx="26">
                  <c:v>AT</c:v>
                </c:pt>
                <c:pt idx="27">
                  <c:v>SE</c:v>
                </c:pt>
              </c:strCache>
            </c:strRef>
          </c:cat>
          <c:val>
            <c:numRef>
              <c:f>denominateur!$F$2:$F$28</c:f>
              <c:numCache>
                <c:formatCode>0.0%</c:formatCode>
                <c:ptCount val="27"/>
                <c:pt idx="0">
                  <c:v>1.3374153981700596E-3</c:v>
                </c:pt>
                <c:pt idx="1">
                  <c:v>5.6717502066233483E-3</c:v>
                </c:pt>
                <c:pt idx="2">
                  <c:v>5.7111174801541846E-3</c:v>
                </c:pt>
                <c:pt idx="3">
                  <c:v>6.743058783566346E-3</c:v>
                </c:pt>
                <c:pt idx="4">
                  <c:v>1.0633070880936792E-2</c:v>
                </c:pt>
                <c:pt idx="5">
                  <c:v>1.9518267698237619E-2</c:v>
                </c:pt>
                <c:pt idx="6">
                  <c:v>2.0621309848586639E-2</c:v>
                </c:pt>
                <c:pt idx="7">
                  <c:v>4.0531602821216331E-2</c:v>
                </c:pt>
                <c:pt idx="8">
                  <c:v>7.1375454939088742E-2</c:v>
                </c:pt>
                <c:pt idx="9">
                  <c:v>7.6962739208197878E-2</c:v>
                </c:pt>
                <c:pt idx="10">
                  <c:v>8.8458284568249959E-2</c:v>
                </c:pt>
                <c:pt idx="11">
                  <c:v>0.10339667283138257</c:v>
                </c:pt>
                <c:pt idx="12">
                  <c:v>0.10747959697273002</c:v>
                </c:pt>
                <c:pt idx="13">
                  <c:v>0.11259353961938361</c:v>
                </c:pt>
                <c:pt idx="14">
                  <c:v>0.11868685603154024</c:v>
                </c:pt>
                <c:pt idx="15">
                  <c:v>0.125656273816074</c:v>
                </c:pt>
                <c:pt idx="16">
                  <c:v>0.14492738330845231</c:v>
                </c:pt>
                <c:pt idx="17">
                  <c:v>0.14925439549836891</c:v>
                </c:pt>
                <c:pt idx="18">
                  <c:v>0.15070465141240175</c:v>
                </c:pt>
                <c:pt idx="19">
                  <c:v>0.19015815589476465</c:v>
                </c:pt>
                <c:pt idx="20">
                  <c:v>0.19593267094551642</c:v>
                </c:pt>
                <c:pt idx="21">
                  <c:v>0.19733944109253501</c:v>
                </c:pt>
                <c:pt idx="22">
                  <c:v>0.20082408183134359</c:v>
                </c:pt>
                <c:pt idx="23">
                  <c:v>0.2092470040736151</c:v>
                </c:pt>
                <c:pt idx="24">
                  <c:v>0.22092218503856018</c:v>
                </c:pt>
                <c:pt idx="25">
                  <c:v>0.22451738748593264</c:v>
                </c:pt>
                <c:pt idx="26">
                  <c:v>0.24929748764617488</c:v>
                </c:pt>
              </c:numCache>
            </c:numRef>
          </c:val>
          <c:extLst>
            <c:ext xmlns:c16="http://schemas.microsoft.com/office/drawing/2014/chart" uri="{C3380CC4-5D6E-409C-BE32-E72D297353CC}">
              <c16:uniqueId val="{00000001-425C-4CA4-A25D-9D5C5CB90AA8}"/>
            </c:ext>
          </c:extLst>
        </c:ser>
        <c:ser>
          <c:idx val="1"/>
          <c:order val="1"/>
          <c:tx>
            <c:v>EU-SILC</c:v>
          </c:tx>
          <c:spPr>
            <a:solidFill>
              <a:schemeClr val="accent2"/>
            </a:solidFill>
            <a:ln>
              <a:noFill/>
            </a:ln>
            <a:effectLst/>
          </c:spPr>
          <c:invertIfNegative val="0"/>
          <c:dLbls>
            <c:dLbl>
              <c:idx val="2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5C-4CA4-A25D-9D5C5CB90AA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denominateur!$A$2:$A$29</c:f>
              <c:strCache>
                <c:ptCount val="28"/>
                <c:pt idx="0">
                  <c:v>RO</c:v>
                </c:pt>
                <c:pt idx="1">
                  <c:v>PL</c:v>
                </c:pt>
                <c:pt idx="2">
                  <c:v>BG</c:v>
                </c:pt>
                <c:pt idx="3">
                  <c:v>SK</c:v>
                </c:pt>
                <c:pt idx="4">
                  <c:v>HU</c:v>
                </c:pt>
                <c:pt idx="5">
                  <c:v>FI</c:v>
                </c:pt>
                <c:pt idx="6">
                  <c:v>CZ</c:v>
                </c:pt>
                <c:pt idx="7">
                  <c:v>LT</c:v>
                </c:pt>
                <c:pt idx="8">
                  <c:v>EE</c:v>
                </c:pt>
                <c:pt idx="9">
                  <c:v>LV</c:v>
                </c:pt>
                <c:pt idx="10">
                  <c:v>MT</c:v>
                </c:pt>
                <c:pt idx="11">
                  <c:v>IE</c:v>
                </c:pt>
                <c:pt idx="12">
                  <c:v>EL</c:v>
                </c:pt>
                <c:pt idx="13">
                  <c:v>SI</c:v>
                </c:pt>
                <c:pt idx="14">
                  <c:v>PT</c:v>
                </c:pt>
                <c:pt idx="15">
                  <c:v>DK</c:v>
                </c:pt>
                <c:pt idx="16">
                  <c:v>HR</c:v>
                </c:pt>
                <c:pt idx="17">
                  <c:v>ES</c:v>
                </c:pt>
                <c:pt idx="18">
                  <c:v>IT</c:v>
                </c:pt>
                <c:pt idx="19">
                  <c:v>LU</c:v>
                </c:pt>
                <c:pt idx="20">
                  <c:v>NL</c:v>
                </c:pt>
                <c:pt idx="21">
                  <c:v>CY</c:v>
                </c:pt>
                <c:pt idx="22">
                  <c:v>FR</c:v>
                </c:pt>
                <c:pt idx="23">
                  <c:v>UK</c:v>
                </c:pt>
                <c:pt idx="24">
                  <c:v>BE</c:v>
                </c:pt>
                <c:pt idx="25">
                  <c:v>DE</c:v>
                </c:pt>
                <c:pt idx="26">
                  <c:v>AT</c:v>
                </c:pt>
                <c:pt idx="27">
                  <c:v>SE</c:v>
                </c:pt>
              </c:strCache>
            </c:strRef>
          </c:cat>
          <c:val>
            <c:numRef>
              <c:f>denominateur!$I$2:$I$28</c:f>
              <c:numCache>
                <c:formatCode>0%</c:formatCode>
                <c:ptCount val="27"/>
                <c:pt idx="0">
                  <c:v>4.4299999999999998E-4</c:v>
                </c:pt>
                <c:pt idx="1">
                  <c:v>6.1529999999999996E-3</c:v>
                </c:pt>
                <c:pt idx="2">
                  <c:v>7.2090000000000001E-3</c:v>
                </c:pt>
                <c:pt idx="3">
                  <c:v>9.5E-4</c:v>
                </c:pt>
                <c:pt idx="4">
                  <c:v>9.1909999999999995E-3</c:v>
                </c:pt>
                <c:pt idx="5">
                  <c:v>7.9552999999999999E-2</c:v>
                </c:pt>
                <c:pt idx="6">
                  <c:v>2.6712E-2</c:v>
                </c:pt>
                <c:pt idx="7">
                  <c:v>6.0236999999999999E-2</c:v>
                </c:pt>
                <c:pt idx="8">
                  <c:v>0.12701299999999999</c:v>
                </c:pt>
                <c:pt idx="9">
                  <c:v>0.117033</c:v>
                </c:pt>
                <c:pt idx="10">
                  <c:v>0.13102</c:v>
                </c:pt>
                <c:pt idx="12">
                  <c:v>0.14263000000000001</c:v>
                </c:pt>
                <c:pt idx="13">
                  <c:v>0.14538100000000001</c:v>
                </c:pt>
                <c:pt idx="14">
                  <c:v>0.11922099999999999</c:v>
                </c:pt>
                <c:pt idx="15">
                  <c:v>9.9784999999999999E-2</c:v>
                </c:pt>
                <c:pt idx="16">
                  <c:v>0.18506300000000001</c:v>
                </c:pt>
                <c:pt idx="17">
                  <c:v>0.177179</c:v>
                </c:pt>
                <c:pt idx="18">
                  <c:v>0.15781200000000001</c:v>
                </c:pt>
                <c:pt idx="19">
                  <c:v>0.22762399999999999</c:v>
                </c:pt>
                <c:pt idx="20">
                  <c:v>0.16039600000000001</c:v>
                </c:pt>
                <c:pt idx="21">
                  <c:v>0.15640299999999999</c:v>
                </c:pt>
                <c:pt idx="22">
                  <c:v>0.163601</c:v>
                </c:pt>
                <c:pt idx="24">
                  <c:v>0.22572600000000001</c:v>
                </c:pt>
                <c:pt idx="25">
                  <c:v>0.19191800000000001</c:v>
                </c:pt>
                <c:pt idx="26">
                  <c:v>0.26940399999999998</c:v>
                </c:pt>
              </c:numCache>
            </c:numRef>
          </c:val>
          <c:extLst>
            <c:ext xmlns:c16="http://schemas.microsoft.com/office/drawing/2014/chart" uri="{C3380CC4-5D6E-409C-BE32-E72D297353CC}">
              <c16:uniqueId val="{00000003-425C-4CA4-A25D-9D5C5CB90AA8}"/>
            </c:ext>
          </c:extLst>
        </c:ser>
        <c:dLbls>
          <c:showLegendKey val="0"/>
          <c:showVal val="0"/>
          <c:showCatName val="0"/>
          <c:showSerName val="0"/>
          <c:showPercent val="0"/>
          <c:showBubbleSize val="0"/>
        </c:dLbls>
        <c:gapWidth val="219"/>
        <c:overlap val="-27"/>
        <c:axId val="206956800"/>
        <c:axId val="227807232"/>
      </c:barChart>
      <c:catAx>
        <c:axId val="20695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27807232"/>
        <c:crosses val="autoZero"/>
        <c:auto val="1"/>
        <c:lblAlgn val="ctr"/>
        <c:lblOffset val="100"/>
        <c:noMultiLvlLbl val="0"/>
      </c:catAx>
      <c:valAx>
        <c:axId val="227807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695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GALI!$B$1</c:f>
              <c:strCache>
                <c:ptCount val="1"/>
                <c:pt idx="0">
                  <c:v>Severely limited</c:v>
                </c:pt>
              </c:strCache>
            </c:strRef>
          </c:tx>
          <c:spPr>
            <a:solidFill>
              <a:schemeClr val="accent1"/>
            </a:solidFill>
            <a:ln>
              <a:noFill/>
            </a:ln>
            <a:effectLst/>
          </c:spPr>
          <c:invertIfNegative val="0"/>
          <c:dLbls>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B3-48AE-BA87-823D7A61921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GALI!$A$2:$A$27</c:f>
              <c:strCache>
                <c:ptCount val="26"/>
                <c:pt idx="0">
                  <c:v>IT</c:v>
                </c:pt>
                <c:pt idx="1">
                  <c:v>CY</c:v>
                </c:pt>
                <c:pt idx="2">
                  <c:v>EL</c:v>
                </c:pt>
                <c:pt idx="3">
                  <c:v>SK</c:v>
                </c:pt>
                <c:pt idx="4">
                  <c:v>BG</c:v>
                </c:pt>
                <c:pt idx="5">
                  <c:v>MT</c:v>
                </c:pt>
                <c:pt idx="6">
                  <c:v>ES</c:v>
                </c:pt>
                <c:pt idx="7">
                  <c:v>HR</c:v>
                </c:pt>
                <c:pt idx="8">
                  <c:v>PL</c:v>
                </c:pt>
                <c:pt idx="9">
                  <c:v>SI</c:v>
                </c:pt>
                <c:pt idx="10">
                  <c:v>SE</c:v>
                </c:pt>
                <c:pt idx="11">
                  <c:v>DE</c:v>
                </c:pt>
                <c:pt idx="12">
                  <c:v>HU</c:v>
                </c:pt>
                <c:pt idx="13">
                  <c:v>FR</c:v>
                </c:pt>
                <c:pt idx="14">
                  <c:v>LU</c:v>
                </c:pt>
                <c:pt idx="15">
                  <c:v>BE</c:v>
                </c:pt>
                <c:pt idx="16">
                  <c:v>PT</c:v>
                </c:pt>
                <c:pt idx="17">
                  <c:v>AT</c:v>
                </c:pt>
                <c:pt idx="18">
                  <c:v>NL</c:v>
                </c:pt>
                <c:pt idx="19">
                  <c:v>CZ</c:v>
                </c:pt>
                <c:pt idx="20">
                  <c:v>RO</c:v>
                </c:pt>
                <c:pt idx="21">
                  <c:v>EE</c:v>
                </c:pt>
                <c:pt idx="22">
                  <c:v>LT</c:v>
                </c:pt>
                <c:pt idx="23">
                  <c:v>DK</c:v>
                </c:pt>
                <c:pt idx="24">
                  <c:v>FI</c:v>
                </c:pt>
                <c:pt idx="25">
                  <c:v>LV</c:v>
                </c:pt>
              </c:strCache>
            </c:strRef>
          </c:cat>
          <c:val>
            <c:numRef>
              <c:f>GALI!$B$2:$B$27</c:f>
              <c:numCache>
                <c:formatCode>General</c:formatCode>
                <c:ptCount val="26"/>
                <c:pt idx="0">
                  <c:v>0.34</c:v>
                </c:pt>
                <c:pt idx="1">
                  <c:v>0.75</c:v>
                </c:pt>
                <c:pt idx="2">
                  <c:v>0.65</c:v>
                </c:pt>
                <c:pt idx="3">
                  <c:v>0.95</c:v>
                </c:pt>
                <c:pt idx="4">
                  <c:v>0.64</c:v>
                </c:pt>
                <c:pt idx="5">
                  <c:v>0.7</c:v>
                </c:pt>
                <c:pt idx="6">
                  <c:v>0.74</c:v>
                </c:pt>
                <c:pt idx="7">
                  <c:v>0.85</c:v>
                </c:pt>
                <c:pt idx="8">
                  <c:v>0.98</c:v>
                </c:pt>
                <c:pt idx="9">
                  <c:v>1.35</c:v>
                </c:pt>
                <c:pt idx="10">
                  <c:v>0.8</c:v>
                </c:pt>
                <c:pt idx="11">
                  <c:v>0.73</c:v>
                </c:pt>
                <c:pt idx="12">
                  <c:v>0.99</c:v>
                </c:pt>
                <c:pt idx="13">
                  <c:v>1.19</c:v>
                </c:pt>
                <c:pt idx="14">
                  <c:v>1.94</c:v>
                </c:pt>
                <c:pt idx="15">
                  <c:v>1.51</c:v>
                </c:pt>
                <c:pt idx="16">
                  <c:v>0.64</c:v>
                </c:pt>
                <c:pt idx="17">
                  <c:v>1.42</c:v>
                </c:pt>
                <c:pt idx="18">
                  <c:v>0.88</c:v>
                </c:pt>
                <c:pt idx="19">
                  <c:v>1.1299999999999999</c:v>
                </c:pt>
                <c:pt idx="20">
                  <c:v>0.15</c:v>
                </c:pt>
                <c:pt idx="21">
                  <c:v>0.99</c:v>
                </c:pt>
                <c:pt idx="22">
                  <c:v>0.82</c:v>
                </c:pt>
                <c:pt idx="23">
                  <c:v>1.4</c:v>
                </c:pt>
                <c:pt idx="24">
                  <c:v>1.73</c:v>
                </c:pt>
                <c:pt idx="25">
                  <c:v>0.81</c:v>
                </c:pt>
              </c:numCache>
            </c:numRef>
          </c:val>
          <c:extLst>
            <c:ext xmlns:c16="http://schemas.microsoft.com/office/drawing/2014/chart" uri="{C3380CC4-5D6E-409C-BE32-E72D297353CC}">
              <c16:uniqueId val="{00000001-75B3-48AE-BA87-823D7A61921F}"/>
            </c:ext>
          </c:extLst>
        </c:ser>
        <c:ser>
          <c:idx val="1"/>
          <c:order val="1"/>
          <c:tx>
            <c:strRef>
              <c:f>GALI!$C$1</c:f>
              <c:strCache>
                <c:ptCount val="1"/>
                <c:pt idx="0">
                  <c:v>Limited but not severely</c:v>
                </c:pt>
              </c:strCache>
            </c:strRef>
          </c:tx>
          <c:spPr>
            <a:solidFill>
              <a:schemeClr val="accent2"/>
            </a:solidFill>
            <a:ln>
              <a:noFill/>
            </a:ln>
            <a:effectLst/>
          </c:spPr>
          <c:invertIfNegative val="0"/>
          <c:dLbls>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B3-48AE-BA87-823D7A61921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GALI!$A$2:$A$27</c:f>
              <c:strCache>
                <c:ptCount val="26"/>
                <c:pt idx="0">
                  <c:v>IT</c:v>
                </c:pt>
                <c:pt idx="1">
                  <c:v>CY</c:v>
                </c:pt>
                <c:pt idx="2">
                  <c:v>EL</c:v>
                </c:pt>
                <c:pt idx="3">
                  <c:v>SK</c:v>
                </c:pt>
                <c:pt idx="4">
                  <c:v>BG</c:v>
                </c:pt>
                <c:pt idx="5">
                  <c:v>MT</c:v>
                </c:pt>
                <c:pt idx="6">
                  <c:v>ES</c:v>
                </c:pt>
                <c:pt idx="7">
                  <c:v>HR</c:v>
                </c:pt>
                <c:pt idx="8">
                  <c:v>PL</c:v>
                </c:pt>
                <c:pt idx="9">
                  <c:v>SI</c:v>
                </c:pt>
                <c:pt idx="10">
                  <c:v>SE</c:v>
                </c:pt>
                <c:pt idx="11">
                  <c:v>DE</c:v>
                </c:pt>
                <c:pt idx="12">
                  <c:v>HU</c:v>
                </c:pt>
                <c:pt idx="13">
                  <c:v>FR</c:v>
                </c:pt>
                <c:pt idx="14">
                  <c:v>LU</c:v>
                </c:pt>
                <c:pt idx="15">
                  <c:v>BE</c:v>
                </c:pt>
                <c:pt idx="16">
                  <c:v>PT</c:v>
                </c:pt>
                <c:pt idx="17">
                  <c:v>AT</c:v>
                </c:pt>
                <c:pt idx="18">
                  <c:v>NL</c:v>
                </c:pt>
                <c:pt idx="19">
                  <c:v>CZ</c:v>
                </c:pt>
                <c:pt idx="20">
                  <c:v>RO</c:v>
                </c:pt>
                <c:pt idx="21">
                  <c:v>EE</c:v>
                </c:pt>
                <c:pt idx="22">
                  <c:v>LT</c:v>
                </c:pt>
                <c:pt idx="23">
                  <c:v>DK</c:v>
                </c:pt>
                <c:pt idx="24">
                  <c:v>FI</c:v>
                </c:pt>
                <c:pt idx="25">
                  <c:v>LV</c:v>
                </c:pt>
              </c:strCache>
            </c:strRef>
          </c:cat>
          <c:val>
            <c:numRef>
              <c:f>GALI!$C$2:$C$27</c:f>
              <c:numCache>
                <c:formatCode>General</c:formatCode>
                <c:ptCount val="26"/>
                <c:pt idx="0">
                  <c:v>0.48</c:v>
                </c:pt>
                <c:pt idx="1">
                  <c:v>0.83</c:v>
                </c:pt>
                <c:pt idx="2">
                  <c:v>1.25</c:v>
                </c:pt>
                <c:pt idx="3">
                  <c:v>1.42</c:v>
                </c:pt>
                <c:pt idx="4">
                  <c:v>1.78</c:v>
                </c:pt>
                <c:pt idx="5">
                  <c:v>1.88</c:v>
                </c:pt>
                <c:pt idx="6">
                  <c:v>2.09</c:v>
                </c:pt>
                <c:pt idx="7">
                  <c:v>2.04</c:v>
                </c:pt>
                <c:pt idx="8">
                  <c:v>2.65</c:v>
                </c:pt>
                <c:pt idx="9">
                  <c:v>2.2799999999999998</c:v>
                </c:pt>
                <c:pt idx="10">
                  <c:v>3.03</c:v>
                </c:pt>
                <c:pt idx="11">
                  <c:v>3.84</c:v>
                </c:pt>
                <c:pt idx="12">
                  <c:v>3.59</c:v>
                </c:pt>
                <c:pt idx="13">
                  <c:v>3.67</c:v>
                </c:pt>
                <c:pt idx="14">
                  <c:v>3.11</c:v>
                </c:pt>
                <c:pt idx="15">
                  <c:v>3.58</c:v>
                </c:pt>
                <c:pt idx="16">
                  <c:v>4.7300000000000004</c:v>
                </c:pt>
                <c:pt idx="17">
                  <c:v>4.3899999999999997</c:v>
                </c:pt>
                <c:pt idx="18">
                  <c:v>5.34</c:v>
                </c:pt>
                <c:pt idx="19">
                  <c:v>5.41</c:v>
                </c:pt>
                <c:pt idx="20">
                  <c:v>7.17</c:v>
                </c:pt>
                <c:pt idx="21">
                  <c:v>7.37</c:v>
                </c:pt>
                <c:pt idx="22">
                  <c:v>7.89</c:v>
                </c:pt>
                <c:pt idx="23">
                  <c:v>7.81</c:v>
                </c:pt>
                <c:pt idx="24">
                  <c:v>8.0500000000000007</c:v>
                </c:pt>
                <c:pt idx="25">
                  <c:v>11.32</c:v>
                </c:pt>
              </c:numCache>
            </c:numRef>
          </c:val>
          <c:extLst>
            <c:ext xmlns:c16="http://schemas.microsoft.com/office/drawing/2014/chart" uri="{C3380CC4-5D6E-409C-BE32-E72D297353CC}">
              <c16:uniqueId val="{00000003-75B3-48AE-BA87-823D7A61921F}"/>
            </c:ext>
          </c:extLst>
        </c:ser>
        <c:dLbls>
          <c:showLegendKey val="0"/>
          <c:showVal val="0"/>
          <c:showCatName val="0"/>
          <c:showSerName val="0"/>
          <c:showPercent val="0"/>
          <c:showBubbleSize val="0"/>
        </c:dLbls>
        <c:gapWidth val="150"/>
        <c:overlap val="100"/>
        <c:axId val="227842304"/>
        <c:axId val="227852288"/>
      </c:barChart>
      <c:catAx>
        <c:axId val="22784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27852288"/>
        <c:crosses val="autoZero"/>
        <c:auto val="1"/>
        <c:lblAlgn val="ctr"/>
        <c:lblOffset val="100"/>
        <c:noMultiLvlLbl val="0"/>
      </c:catAx>
      <c:valAx>
        <c:axId val="22785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2784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'children health'!$B$1</c:f>
              <c:strCache>
                <c:ptCount val="1"/>
                <c:pt idx="0">
                  <c:v>Very good</c:v>
                </c:pt>
              </c:strCache>
            </c:strRef>
          </c:tx>
          <c:spPr>
            <a:solidFill>
              <a:schemeClr val="accent1"/>
            </a:solidFill>
            <a:ln>
              <a:noFill/>
            </a:ln>
            <a:effectLst/>
          </c:spPr>
          <c:invertIfNegative val="0"/>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05-4012-854A-095590E1307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'children health'!$A$2:$A$27</c:f>
              <c:strCache>
                <c:ptCount val="26"/>
                <c:pt idx="0">
                  <c:v>RO</c:v>
                </c:pt>
                <c:pt idx="1">
                  <c:v>IT</c:v>
                </c:pt>
                <c:pt idx="2">
                  <c:v>BG</c:v>
                </c:pt>
                <c:pt idx="3">
                  <c:v>ES</c:v>
                </c:pt>
                <c:pt idx="4">
                  <c:v>EL</c:v>
                </c:pt>
                <c:pt idx="5">
                  <c:v>HR</c:v>
                </c:pt>
                <c:pt idx="6">
                  <c:v>CY</c:v>
                </c:pt>
                <c:pt idx="7">
                  <c:v>MT</c:v>
                </c:pt>
                <c:pt idx="8">
                  <c:v>FI</c:v>
                </c:pt>
                <c:pt idx="9">
                  <c:v>AT</c:v>
                </c:pt>
                <c:pt idx="10">
                  <c:v>SK</c:v>
                </c:pt>
                <c:pt idx="11">
                  <c:v>BE</c:v>
                </c:pt>
                <c:pt idx="12">
                  <c:v>CZ</c:v>
                </c:pt>
                <c:pt idx="13">
                  <c:v>SE</c:v>
                </c:pt>
                <c:pt idx="14">
                  <c:v>LT</c:v>
                </c:pt>
                <c:pt idx="15">
                  <c:v>NL</c:v>
                </c:pt>
                <c:pt idx="16">
                  <c:v>FR</c:v>
                </c:pt>
                <c:pt idx="17">
                  <c:v>DK</c:v>
                </c:pt>
                <c:pt idx="18">
                  <c:v>LU</c:v>
                </c:pt>
                <c:pt idx="19">
                  <c:v>DE</c:v>
                </c:pt>
                <c:pt idx="20">
                  <c:v>HU</c:v>
                </c:pt>
                <c:pt idx="21">
                  <c:v>SI</c:v>
                </c:pt>
                <c:pt idx="22">
                  <c:v>PL</c:v>
                </c:pt>
                <c:pt idx="23">
                  <c:v>EE</c:v>
                </c:pt>
                <c:pt idx="24">
                  <c:v>LV</c:v>
                </c:pt>
                <c:pt idx="25">
                  <c:v>PT</c:v>
                </c:pt>
              </c:strCache>
            </c:strRef>
          </c:cat>
          <c:val>
            <c:numRef>
              <c:f>'children health'!$B$2:$B$27</c:f>
              <c:numCache>
                <c:formatCode>General</c:formatCode>
                <c:ptCount val="26"/>
                <c:pt idx="0">
                  <c:v>75.22</c:v>
                </c:pt>
                <c:pt idx="1">
                  <c:v>48.39</c:v>
                </c:pt>
                <c:pt idx="2">
                  <c:v>74.17</c:v>
                </c:pt>
                <c:pt idx="3">
                  <c:v>65.84</c:v>
                </c:pt>
                <c:pt idx="4">
                  <c:v>94.04</c:v>
                </c:pt>
                <c:pt idx="5">
                  <c:v>83.8</c:v>
                </c:pt>
                <c:pt idx="6">
                  <c:v>90.72</c:v>
                </c:pt>
                <c:pt idx="7">
                  <c:v>56.92</c:v>
                </c:pt>
                <c:pt idx="8">
                  <c:v>68.400000000000006</c:v>
                </c:pt>
                <c:pt idx="9">
                  <c:v>80.709999999999994</c:v>
                </c:pt>
                <c:pt idx="10">
                  <c:v>55.78</c:v>
                </c:pt>
                <c:pt idx="11">
                  <c:v>72.260000000000005</c:v>
                </c:pt>
                <c:pt idx="12">
                  <c:v>73.72</c:v>
                </c:pt>
                <c:pt idx="13">
                  <c:v>68.239999999999995</c:v>
                </c:pt>
                <c:pt idx="14">
                  <c:v>40.43</c:v>
                </c:pt>
                <c:pt idx="15">
                  <c:v>50.54</c:v>
                </c:pt>
                <c:pt idx="16">
                  <c:v>75.17</c:v>
                </c:pt>
                <c:pt idx="17">
                  <c:v>71.12</c:v>
                </c:pt>
                <c:pt idx="18">
                  <c:v>70.59</c:v>
                </c:pt>
                <c:pt idx="19">
                  <c:v>66.87</c:v>
                </c:pt>
                <c:pt idx="20">
                  <c:v>62.25</c:v>
                </c:pt>
                <c:pt idx="21">
                  <c:v>64.12</c:v>
                </c:pt>
                <c:pt idx="22">
                  <c:v>55.48</c:v>
                </c:pt>
                <c:pt idx="23">
                  <c:v>45.64</c:v>
                </c:pt>
                <c:pt idx="24">
                  <c:v>23.35</c:v>
                </c:pt>
                <c:pt idx="25">
                  <c:v>46.84</c:v>
                </c:pt>
              </c:numCache>
            </c:numRef>
          </c:val>
          <c:extLst>
            <c:ext xmlns:c16="http://schemas.microsoft.com/office/drawing/2014/chart" uri="{C3380CC4-5D6E-409C-BE32-E72D297353CC}">
              <c16:uniqueId val="{00000001-6D05-4012-854A-095590E13077}"/>
            </c:ext>
          </c:extLst>
        </c:ser>
        <c:ser>
          <c:idx val="1"/>
          <c:order val="1"/>
          <c:tx>
            <c:strRef>
              <c:f>'children health'!$C$1</c:f>
              <c:strCache>
                <c:ptCount val="1"/>
                <c:pt idx="0">
                  <c:v>Good</c:v>
                </c:pt>
              </c:strCache>
            </c:strRef>
          </c:tx>
          <c:spPr>
            <a:solidFill>
              <a:schemeClr val="accent2"/>
            </a:solidFill>
            <a:ln>
              <a:noFill/>
            </a:ln>
            <a:effectLst/>
          </c:spPr>
          <c:invertIfNegative val="0"/>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05-4012-854A-095590E1307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'children health'!$A$2:$A$27</c:f>
              <c:strCache>
                <c:ptCount val="26"/>
                <c:pt idx="0">
                  <c:v>RO</c:v>
                </c:pt>
                <c:pt idx="1">
                  <c:v>IT</c:v>
                </c:pt>
                <c:pt idx="2">
                  <c:v>BG</c:v>
                </c:pt>
                <c:pt idx="3">
                  <c:v>ES</c:v>
                </c:pt>
                <c:pt idx="4">
                  <c:v>EL</c:v>
                </c:pt>
                <c:pt idx="5">
                  <c:v>HR</c:v>
                </c:pt>
                <c:pt idx="6">
                  <c:v>CY</c:v>
                </c:pt>
                <c:pt idx="7">
                  <c:v>MT</c:v>
                </c:pt>
                <c:pt idx="8">
                  <c:v>FI</c:v>
                </c:pt>
                <c:pt idx="9">
                  <c:v>AT</c:v>
                </c:pt>
                <c:pt idx="10">
                  <c:v>SK</c:v>
                </c:pt>
                <c:pt idx="11">
                  <c:v>BE</c:v>
                </c:pt>
                <c:pt idx="12">
                  <c:v>CZ</c:v>
                </c:pt>
                <c:pt idx="13">
                  <c:v>SE</c:v>
                </c:pt>
                <c:pt idx="14">
                  <c:v>LT</c:v>
                </c:pt>
                <c:pt idx="15">
                  <c:v>NL</c:v>
                </c:pt>
                <c:pt idx="16">
                  <c:v>FR</c:v>
                </c:pt>
                <c:pt idx="17">
                  <c:v>DK</c:v>
                </c:pt>
                <c:pt idx="18">
                  <c:v>LU</c:v>
                </c:pt>
                <c:pt idx="19">
                  <c:v>DE</c:v>
                </c:pt>
                <c:pt idx="20">
                  <c:v>HU</c:v>
                </c:pt>
                <c:pt idx="21">
                  <c:v>SI</c:v>
                </c:pt>
                <c:pt idx="22">
                  <c:v>PL</c:v>
                </c:pt>
                <c:pt idx="23">
                  <c:v>EE</c:v>
                </c:pt>
                <c:pt idx="24">
                  <c:v>LV</c:v>
                </c:pt>
                <c:pt idx="25">
                  <c:v>PT</c:v>
                </c:pt>
              </c:strCache>
            </c:strRef>
          </c:cat>
          <c:val>
            <c:numRef>
              <c:f>'children health'!$C$2:$C$27</c:f>
              <c:numCache>
                <c:formatCode>General</c:formatCode>
                <c:ptCount val="26"/>
                <c:pt idx="0">
                  <c:v>24.14</c:v>
                </c:pt>
                <c:pt idx="1">
                  <c:v>50.37</c:v>
                </c:pt>
                <c:pt idx="2">
                  <c:v>23.96</c:v>
                </c:pt>
                <c:pt idx="3">
                  <c:v>32.24</c:v>
                </c:pt>
                <c:pt idx="4">
                  <c:v>3.98</c:v>
                </c:pt>
                <c:pt idx="5">
                  <c:v>14.07</c:v>
                </c:pt>
                <c:pt idx="6">
                  <c:v>7.08</c:v>
                </c:pt>
                <c:pt idx="7">
                  <c:v>40.78</c:v>
                </c:pt>
                <c:pt idx="8">
                  <c:v>28.31</c:v>
                </c:pt>
                <c:pt idx="9">
                  <c:v>15.7</c:v>
                </c:pt>
                <c:pt idx="10">
                  <c:v>40.44</c:v>
                </c:pt>
                <c:pt idx="11">
                  <c:v>23.76</c:v>
                </c:pt>
                <c:pt idx="12">
                  <c:v>22.3</c:v>
                </c:pt>
                <c:pt idx="13">
                  <c:v>27.49</c:v>
                </c:pt>
                <c:pt idx="14">
                  <c:v>55</c:v>
                </c:pt>
                <c:pt idx="15">
                  <c:v>44.75</c:v>
                </c:pt>
                <c:pt idx="16">
                  <c:v>20.03</c:v>
                </c:pt>
                <c:pt idx="17">
                  <c:v>23.95</c:v>
                </c:pt>
                <c:pt idx="18">
                  <c:v>24.46</c:v>
                </c:pt>
                <c:pt idx="19">
                  <c:v>28.07</c:v>
                </c:pt>
                <c:pt idx="20">
                  <c:v>32.53</c:v>
                </c:pt>
                <c:pt idx="21">
                  <c:v>29.72</c:v>
                </c:pt>
                <c:pt idx="22">
                  <c:v>37.99</c:v>
                </c:pt>
                <c:pt idx="23">
                  <c:v>46.12</c:v>
                </c:pt>
                <c:pt idx="24">
                  <c:v>67.489999999999995</c:v>
                </c:pt>
                <c:pt idx="25">
                  <c:v>43.33</c:v>
                </c:pt>
              </c:numCache>
            </c:numRef>
          </c:val>
          <c:extLst>
            <c:ext xmlns:c16="http://schemas.microsoft.com/office/drawing/2014/chart" uri="{C3380CC4-5D6E-409C-BE32-E72D297353CC}">
              <c16:uniqueId val="{00000003-6D05-4012-854A-095590E13077}"/>
            </c:ext>
          </c:extLst>
        </c:ser>
        <c:ser>
          <c:idx val="2"/>
          <c:order val="2"/>
          <c:tx>
            <c:strRef>
              <c:f>'children health'!$D$1</c:f>
              <c:strCache>
                <c:ptCount val="1"/>
                <c:pt idx="0">
                  <c:v>Fair</c:v>
                </c:pt>
              </c:strCache>
            </c:strRef>
          </c:tx>
          <c:spPr>
            <a:solidFill>
              <a:schemeClr val="accent3"/>
            </a:solidFill>
            <a:ln>
              <a:noFill/>
            </a:ln>
            <a:effectLst/>
          </c:spPr>
          <c:invertIfNegative val="0"/>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05-4012-854A-095590E1307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'children health'!$A$2:$A$27</c:f>
              <c:strCache>
                <c:ptCount val="26"/>
                <c:pt idx="0">
                  <c:v>RO</c:v>
                </c:pt>
                <c:pt idx="1">
                  <c:v>IT</c:v>
                </c:pt>
                <c:pt idx="2">
                  <c:v>BG</c:v>
                </c:pt>
                <c:pt idx="3">
                  <c:v>ES</c:v>
                </c:pt>
                <c:pt idx="4">
                  <c:v>EL</c:v>
                </c:pt>
                <c:pt idx="5">
                  <c:v>HR</c:v>
                </c:pt>
                <c:pt idx="6">
                  <c:v>CY</c:v>
                </c:pt>
                <c:pt idx="7">
                  <c:v>MT</c:v>
                </c:pt>
                <c:pt idx="8">
                  <c:v>FI</c:v>
                </c:pt>
                <c:pt idx="9">
                  <c:v>AT</c:v>
                </c:pt>
                <c:pt idx="10">
                  <c:v>SK</c:v>
                </c:pt>
                <c:pt idx="11">
                  <c:v>BE</c:v>
                </c:pt>
                <c:pt idx="12">
                  <c:v>CZ</c:v>
                </c:pt>
                <c:pt idx="13">
                  <c:v>SE</c:v>
                </c:pt>
                <c:pt idx="14">
                  <c:v>LT</c:v>
                </c:pt>
                <c:pt idx="15">
                  <c:v>NL</c:v>
                </c:pt>
                <c:pt idx="16">
                  <c:v>FR</c:v>
                </c:pt>
                <c:pt idx="17">
                  <c:v>DK</c:v>
                </c:pt>
                <c:pt idx="18">
                  <c:v>LU</c:v>
                </c:pt>
                <c:pt idx="19">
                  <c:v>DE</c:v>
                </c:pt>
                <c:pt idx="20">
                  <c:v>HU</c:v>
                </c:pt>
                <c:pt idx="21">
                  <c:v>SI</c:v>
                </c:pt>
                <c:pt idx="22">
                  <c:v>PL</c:v>
                </c:pt>
                <c:pt idx="23">
                  <c:v>EE</c:v>
                </c:pt>
                <c:pt idx="24">
                  <c:v>LV</c:v>
                </c:pt>
                <c:pt idx="25">
                  <c:v>PT</c:v>
                </c:pt>
              </c:strCache>
            </c:strRef>
          </c:cat>
          <c:val>
            <c:numRef>
              <c:f>'children health'!$D$2:$D$27</c:f>
              <c:numCache>
                <c:formatCode>General</c:formatCode>
                <c:ptCount val="26"/>
                <c:pt idx="0">
                  <c:v>0.21</c:v>
                </c:pt>
                <c:pt idx="1">
                  <c:v>0.82</c:v>
                </c:pt>
                <c:pt idx="2">
                  <c:v>1.01</c:v>
                </c:pt>
                <c:pt idx="3">
                  <c:v>1.52</c:v>
                </c:pt>
                <c:pt idx="4">
                  <c:v>1.1599999999999999</c:v>
                </c:pt>
                <c:pt idx="5">
                  <c:v>1.17</c:v>
                </c:pt>
                <c:pt idx="6">
                  <c:v>1.55</c:v>
                </c:pt>
                <c:pt idx="7">
                  <c:v>2.09</c:v>
                </c:pt>
                <c:pt idx="8">
                  <c:v>2.78</c:v>
                </c:pt>
                <c:pt idx="9">
                  <c:v>2.76</c:v>
                </c:pt>
                <c:pt idx="10">
                  <c:v>2.91</c:v>
                </c:pt>
                <c:pt idx="11">
                  <c:v>2.89</c:v>
                </c:pt>
                <c:pt idx="12">
                  <c:v>3.05</c:v>
                </c:pt>
                <c:pt idx="13">
                  <c:v>3.5</c:v>
                </c:pt>
                <c:pt idx="14">
                  <c:v>3.07</c:v>
                </c:pt>
                <c:pt idx="15">
                  <c:v>4.16</c:v>
                </c:pt>
                <c:pt idx="16">
                  <c:v>4.21</c:v>
                </c:pt>
                <c:pt idx="17">
                  <c:v>3.96</c:v>
                </c:pt>
                <c:pt idx="18">
                  <c:v>3.51</c:v>
                </c:pt>
                <c:pt idx="19">
                  <c:v>4.33</c:v>
                </c:pt>
                <c:pt idx="20">
                  <c:v>4.18</c:v>
                </c:pt>
                <c:pt idx="21">
                  <c:v>5.14</c:v>
                </c:pt>
                <c:pt idx="22">
                  <c:v>5.37</c:v>
                </c:pt>
                <c:pt idx="23">
                  <c:v>7.01</c:v>
                </c:pt>
                <c:pt idx="24">
                  <c:v>7.95</c:v>
                </c:pt>
                <c:pt idx="25">
                  <c:v>8.68</c:v>
                </c:pt>
              </c:numCache>
            </c:numRef>
          </c:val>
          <c:extLst>
            <c:ext xmlns:c16="http://schemas.microsoft.com/office/drawing/2014/chart" uri="{C3380CC4-5D6E-409C-BE32-E72D297353CC}">
              <c16:uniqueId val="{00000005-6D05-4012-854A-095590E13077}"/>
            </c:ext>
          </c:extLst>
        </c:ser>
        <c:ser>
          <c:idx val="3"/>
          <c:order val="3"/>
          <c:tx>
            <c:strRef>
              <c:f>'children health'!$E$1</c:f>
              <c:strCache>
                <c:ptCount val="1"/>
                <c:pt idx="0">
                  <c:v>Bad</c:v>
                </c:pt>
              </c:strCache>
            </c:strRef>
          </c:tx>
          <c:spPr>
            <a:solidFill>
              <a:schemeClr val="accent4"/>
            </a:solidFill>
            <a:ln>
              <a:noFill/>
            </a:ln>
            <a:effectLst/>
          </c:spPr>
          <c:invertIfNegative val="0"/>
          <c:cat>
            <c:strRef>
              <c:f>'children health'!$A$2:$A$27</c:f>
              <c:strCache>
                <c:ptCount val="26"/>
                <c:pt idx="0">
                  <c:v>RO</c:v>
                </c:pt>
                <c:pt idx="1">
                  <c:v>IT</c:v>
                </c:pt>
                <c:pt idx="2">
                  <c:v>BG</c:v>
                </c:pt>
                <c:pt idx="3">
                  <c:v>ES</c:v>
                </c:pt>
                <c:pt idx="4">
                  <c:v>EL</c:v>
                </c:pt>
                <c:pt idx="5">
                  <c:v>HR</c:v>
                </c:pt>
                <c:pt idx="6">
                  <c:v>CY</c:v>
                </c:pt>
                <c:pt idx="7">
                  <c:v>MT</c:v>
                </c:pt>
                <c:pt idx="8">
                  <c:v>FI</c:v>
                </c:pt>
                <c:pt idx="9">
                  <c:v>AT</c:v>
                </c:pt>
                <c:pt idx="10">
                  <c:v>SK</c:v>
                </c:pt>
                <c:pt idx="11">
                  <c:v>BE</c:v>
                </c:pt>
                <c:pt idx="12">
                  <c:v>CZ</c:v>
                </c:pt>
                <c:pt idx="13">
                  <c:v>SE</c:v>
                </c:pt>
                <c:pt idx="14">
                  <c:v>LT</c:v>
                </c:pt>
                <c:pt idx="15">
                  <c:v>NL</c:v>
                </c:pt>
                <c:pt idx="16">
                  <c:v>FR</c:v>
                </c:pt>
                <c:pt idx="17">
                  <c:v>DK</c:v>
                </c:pt>
                <c:pt idx="18">
                  <c:v>LU</c:v>
                </c:pt>
                <c:pt idx="19">
                  <c:v>DE</c:v>
                </c:pt>
                <c:pt idx="20">
                  <c:v>HU</c:v>
                </c:pt>
                <c:pt idx="21">
                  <c:v>SI</c:v>
                </c:pt>
                <c:pt idx="22">
                  <c:v>PL</c:v>
                </c:pt>
                <c:pt idx="23">
                  <c:v>EE</c:v>
                </c:pt>
                <c:pt idx="24">
                  <c:v>LV</c:v>
                </c:pt>
                <c:pt idx="25">
                  <c:v>PT</c:v>
                </c:pt>
              </c:strCache>
            </c:strRef>
          </c:cat>
          <c:val>
            <c:numRef>
              <c:f>'children health'!$E$2:$E$27</c:f>
              <c:numCache>
                <c:formatCode>General</c:formatCode>
                <c:ptCount val="26"/>
                <c:pt idx="0">
                  <c:v>0.28000000000000003</c:v>
                </c:pt>
                <c:pt idx="1">
                  <c:v>0.34</c:v>
                </c:pt>
                <c:pt idx="2">
                  <c:v>0.73</c:v>
                </c:pt>
                <c:pt idx="3">
                  <c:v>0.24</c:v>
                </c:pt>
                <c:pt idx="4">
                  <c:v>0.24</c:v>
                </c:pt>
                <c:pt idx="5">
                  <c:v>0.4</c:v>
                </c:pt>
                <c:pt idx="6">
                  <c:v>0.4</c:v>
                </c:pt>
                <c:pt idx="7">
                  <c:v>0.21</c:v>
                </c:pt>
                <c:pt idx="8">
                  <c:v>0.51</c:v>
                </c:pt>
                <c:pt idx="9">
                  <c:v>0.8</c:v>
                </c:pt>
                <c:pt idx="10">
                  <c:v>0.59</c:v>
                </c:pt>
                <c:pt idx="11">
                  <c:v>0.94</c:v>
                </c:pt>
                <c:pt idx="12">
                  <c:v>0.69</c:v>
                </c:pt>
                <c:pt idx="13">
                  <c:v>0.61</c:v>
                </c:pt>
                <c:pt idx="14">
                  <c:v>1.4</c:v>
                </c:pt>
                <c:pt idx="15">
                  <c:v>0.43</c:v>
                </c:pt>
                <c:pt idx="16">
                  <c:v>0.52</c:v>
                </c:pt>
                <c:pt idx="17">
                  <c:v>0.56000000000000005</c:v>
                </c:pt>
                <c:pt idx="18">
                  <c:v>1.3</c:v>
                </c:pt>
                <c:pt idx="19">
                  <c:v>0.54</c:v>
                </c:pt>
                <c:pt idx="20">
                  <c:v>0.71</c:v>
                </c:pt>
                <c:pt idx="21">
                  <c:v>0.6</c:v>
                </c:pt>
                <c:pt idx="22">
                  <c:v>1</c:v>
                </c:pt>
                <c:pt idx="23">
                  <c:v>1.1599999999999999</c:v>
                </c:pt>
                <c:pt idx="24">
                  <c:v>1.17</c:v>
                </c:pt>
                <c:pt idx="25">
                  <c:v>0.71</c:v>
                </c:pt>
              </c:numCache>
            </c:numRef>
          </c:val>
          <c:extLst>
            <c:ext xmlns:c16="http://schemas.microsoft.com/office/drawing/2014/chart" uri="{C3380CC4-5D6E-409C-BE32-E72D297353CC}">
              <c16:uniqueId val="{00000006-6D05-4012-854A-095590E13077}"/>
            </c:ext>
          </c:extLst>
        </c:ser>
        <c:ser>
          <c:idx val="4"/>
          <c:order val="4"/>
          <c:tx>
            <c:strRef>
              <c:f>'children health'!$F$1</c:f>
              <c:strCache>
                <c:ptCount val="1"/>
                <c:pt idx="0">
                  <c:v>Very bad</c:v>
                </c:pt>
              </c:strCache>
            </c:strRef>
          </c:tx>
          <c:spPr>
            <a:solidFill>
              <a:schemeClr val="accent5"/>
            </a:solidFill>
            <a:ln>
              <a:noFill/>
            </a:ln>
            <a:effectLst/>
          </c:spPr>
          <c:invertIfNegative val="0"/>
          <c:cat>
            <c:strRef>
              <c:f>'children health'!$A$2:$A$27</c:f>
              <c:strCache>
                <c:ptCount val="26"/>
                <c:pt idx="0">
                  <c:v>RO</c:v>
                </c:pt>
                <c:pt idx="1">
                  <c:v>IT</c:v>
                </c:pt>
                <c:pt idx="2">
                  <c:v>BG</c:v>
                </c:pt>
                <c:pt idx="3">
                  <c:v>ES</c:v>
                </c:pt>
                <c:pt idx="4">
                  <c:v>EL</c:v>
                </c:pt>
                <c:pt idx="5">
                  <c:v>HR</c:v>
                </c:pt>
                <c:pt idx="6">
                  <c:v>CY</c:v>
                </c:pt>
                <c:pt idx="7">
                  <c:v>MT</c:v>
                </c:pt>
                <c:pt idx="8">
                  <c:v>FI</c:v>
                </c:pt>
                <c:pt idx="9">
                  <c:v>AT</c:v>
                </c:pt>
                <c:pt idx="10">
                  <c:v>SK</c:v>
                </c:pt>
                <c:pt idx="11">
                  <c:v>BE</c:v>
                </c:pt>
                <c:pt idx="12">
                  <c:v>CZ</c:v>
                </c:pt>
                <c:pt idx="13">
                  <c:v>SE</c:v>
                </c:pt>
                <c:pt idx="14">
                  <c:v>LT</c:v>
                </c:pt>
                <c:pt idx="15">
                  <c:v>NL</c:v>
                </c:pt>
                <c:pt idx="16">
                  <c:v>FR</c:v>
                </c:pt>
                <c:pt idx="17">
                  <c:v>DK</c:v>
                </c:pt>
                <c:pt idx="18">
                  <c:v>LU</c:v>
                </c:pt>
                <c:pt idx="19">
                  <c:v>DE</c:v>
                </c:pt>
                <c:pt idx="20">
                  <c:v>HU</c:v>
                </c:pt>
                <c:pt idx="21">
                  <c:v>SI</c:v>
                </c:pt>
                <c:pt idx="22">
                  <c:v>PL</c:v>
                </c:pt>
                <c:pt idx="23">
                  <c:v>EE</c:v>
                </c:pt>
                <c:pt idx="24">
                  <c:v>LV</c:v>
                </c:pt>
                <c:pt idx="25">
                  <c:v>PT</c:v>
                </c:pt>
              </c:strCache>
            </c:strRef>
          </c:cat>
          <c:val>
            <c:numRef>
              <c:f>'children health'!$F$2:$F$27</c:f>
              <c:numCache>
                <c:formatCode>General</c:formatCode>
                <c:ptCount val="26"/>
                <c:pt idx="0">
                  <c:v>0.15</c:v>
                </c:pt>
                <c:pt idx="1">
                  <c:v>0.08</c:v>
                </c:pt>
                <c:pt idx="2">
                  <c:v>0.14000000000000001</c:v>
                </c:pt>
                <c:pt idx="3">
                  <c:v>0.15</c:v>
                </c:pt>
                <c:pt idx="4">
                  <c:v>0.57999999999999996</c:v>
                </c:pt>
                <c:pt idx="5">
                  <c:v>0.56000000000000005</c:v>
                </c:pt>
                <c:pt idx="6">
                  <c:v>0.26</c:v>
                </c:pt>
                <c:pt idx="7">
                  <c:v>0</c:v>
                </c:pt>
                <c:pt idx="8">
                  <c:v>0</c:v>
                </c:pt>
                <c:pt idx="9">
                  <c:v>0.03</c:v>
                </c:pt>
                <c:pt idx="10">
                  <c:v>0.28000000000000003</c:v>
                </c:pt>
                <c:pt idx="11">
                  <c:v>0.15</c:v>
                </c:pt>
                <c:pt idx="12">
                  <c:v>0.25</c:v>
                </c:pt>
                <c:pt idx="13">
                  <c:v>0.16</c:v>
                </c:pt>
                <c:pt idx="14">
                  <c:v>0.1</c:v>
                </c:pt>
                <c:pt idx="15">
                  <c:v>0.11</c:v>
                </c:pt>
                <c:pt idx="16">
                  <c:v>0.06</c:v>
                </c:pt>
                <c:pt idx="17">
                  <c:v>0.42</c:v>
                </c:pt>
                <c:pt idx="18">
                  <c:v>0.14000000000000001</c:v>
                </c:pt>
                <c:pt idx="19">
                  <c:v>0.19</c:v>
                </c:pt>
                <c:pt idx="20">
                  <c:v>0.32</c:v>
                </c:pt>
                <c:pt idx="21">
                  <c:v>0.42</c:v>
                </c:pt>
                <c:pt idx="22">
                  <c:v>0.16</c:v>
                </c:pt>
                <c:pt idx="23">
                  <c:v>0.06</c:v>
                </c:pt>
                <c:pt idx="24">
                  <c:v>0.04</c:v>
                </c:pt>
                <c:pt idx="25">
                  <c:v>0.44</c:v>
                </c:pt>
              </c:numCache>
            </c:numRef>
          </c:val>
          <c:extLst>
            <c:ext xmlns:c16="http://schemas.microsoft.com/office/drawing/2014/chart" uri="{C3380CC4-5D6E-409C-BE32-E72D297353CC}">
              <c16:uniqueId val="{00000007-6D05-4012-854A-095590E13077}"/>
            </c:ext>
          </c:extLst>
        </c:ser>
        <c:dLbls>
          <c:showLegendKey val="0"/>
          <c:showVal val="0"/>
          <c:showCatName val="0"/>
          <c:showSerName val="0"/>
          <c:showPercent val="0"/>
          <c:showBubbleSize val="0"/>
        </c:dLbls>
        <c:gapWidth val="150"/>
        <c:overlap val="100"/>
        <c:axId val="230259712"/>
        <c:axId val="230286080"/>
      </c:barChart>
      <c:catAx>
        <c:axId val="23025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30286080"/>
        <c:crosses val="autoZero"/>
        <c:auto val="1"/>
        <c:lblAlgn val="ctr"/>
        <c:lblOffset val="100"/>
        <c:noMultiLvlLbl val="0"/>
      </c:catAx>
      <c:valAx>
        <c:axId val="23028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3025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0.03603</cdr:x>
      <cdr:y>0.04181</cdr:y>
    </cdr:from>
    <cdr:to>
      <cdr:x>0.25937</cdr:x>
      <cdr:y>0.11228</cdr:y>
    </cdr:to>
    <cdr:sp macro="" textlink="">
      <cdr:nvSpPr>
        <cdr:cNvPr id="2051" name="Text Box 3"/>
        <cdr:cNvSpPr txBox="1">
          <a:spLocks xmlns:a="http://schemas.openxmlformats.org/drawingml/2006/main" noChangeArrowheads="1"/>
        </cdr:cNvSpPr>
      </cdr:nvSpPr>
      <cdr:spPr bwMode="auto">
        <a:xfrm xmlns:a="http://schemas.openxmlformats.org/drawingml/2006/main">
          <a:off x="334772" y="253153"/>
          <a:ext cx="2075247" cy="42667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ysClr val="windowText" lastClr="000000"/>
              </a:solidFill>
              <a:latin typeface="Arial" panose="020B0604020202020204" pitchFamily="34" charset="0"/>
              <a:cs typeface="Arial" panose="020B0604020202020204" pitchFamily="34" charset="0"/>
            </a:rPr>
            <a:t>Baseline data reference year</a:t>
          </a:r>
        </a:p>
        <a:p xmlns:a="http://schemas.openxmlformats.org/drawingml/2006/main">
          <a:pPr algn="ctr" rtl="0">
            <a:defRPr sz="1000"/>
          </a:pPr>
          <a:r>
            <a:rPr lang="en-GB" sz="800" b="0" i="0" u="none" strike="noStrike" baseline="0">
              <a:solidFill>
                <a:sysClr val="windowText" lastClr="000000"/>
              </a:solidFill>
              <a:latin typeface="Arial" panose="020B0604020202020204" pitchFamily="34" charset="0"/>
              <a:cs typeface="Arial" panose="020B0604020202020204" pitchFamily="34" charset="0"/>
            </a:rPr>
            <a:t>for monitoring progress</a:t>
          </a:r>
        </a:p>
      </cdr:txBody>
    </cdr:sp>
  </cdr:relSizeAnchor>
  <cdr:relSizeAnchor xmlns:cdr="http://schemas.openxmlformats.org/drawingml/2006/chartDrawing">
    <cdr:from>
      <cdr:x>0.76975</cdr:x>
      <cdr:y>0.04684</cdr:y>
    </cdr:from>
    <cdr:to>
      <cdr:x>0.93445</cdr:x>
      <cdr:y>0.09855</cdr:y>
    </cdr:to>
    <cdr:sp macro="" textlink="">
      <cdr:nvSpPr>
        <cdr:cNvPr id="2052" name="Text Box 4"/>
        <cdr:cNvSpPr txBox="1">
          <a:spLocks xmlns:a="http://schemas.openxmlformats.org/drawingml/2006/main" noChangeArrowheads="1"/>
        </cdr:cNvSpPr>
      </cdr:nvSpPr>
      <cdr:spPr bwMode="auto">
        <a:xfrm xmlns:a="http://schemas.openxmlformats.org/drawingml/2006/main">
          <a:off x="7152372" y="283613"/>
          <a:ext cx="1530371" cy="3130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ysClr val="windowText" lastClr="000000"/>
              </a:solidFill>
              <a:latin typeface="Arial" panose="020B0604020202020204" pitchFamily="34" charset="0"/>
              <a:cs typeface="Arial" panose="020B0604020202020204" pitchFamily="34" charset="0"/>
            </a:rPr>
            <a:t>Data reference year for assessing target achievement</a:t>
          </a:r>
        </a:p>
      </cdr:txBody>
    </cdr:sp>
  </cdr:relSizeAnchor>
  <cdr:relSizeAnchor xmlns:cdr="http://schemas.openxmlformats.org/drawingml/2006/chartDrawing">
    <cdr:from>
      <cdr:x>0.14839</cdr:x>
      <cdr:y>0.08801</cdr:y>
    </cdr:from>
    <cdr:to>
      <cdr:x>0.14982</cdr:x>
      <cdr:y>0.72167</cdr:y>
    </cdr:to>
    <cdr:cxnSp macro="">
      <cdr:nvCxnSpPr>
        <cdr:cNvPr id="4" name="Straight Arrow Connector 3"/>
        <cdr:cNvCxnSpPr/>
      </cdr:nvCxnSpPr>
      <cdr:spPr>
        <a:xfrm xmlns:a="http://schemas.openxmlformats.org/drawingml/2006/main">
          <a:off x="1378797" y="532875"/>
          <a:ext cx="13287" cy="383662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0.87357</cdr:x>
      <cdr:y>0.0887</cdr:y>
    </cdr:from>
    <cdr:to>
      <cdr:x>0.875</cdr:x>
      <cdr:y>0.72236</cdr:y>
    </cdr:to>
    <cdr:cxnSp macro="">
      <cdr:nvCxnSpPr>
        <cdr:cNvPr id="10" name="Straight Arrow Connector 9"/>
        <cdr:cNvCxnSpPr/>
      </cdr:nvCxnSpPr>
      <cdr:spPr>
        <a:xfrm xmlns:a="http://schemas.openxmlformats.org/drawingml/2006/main">
          <a:off x="8117076" y="537042"/>
          <a:ext cx="13322" cy="3836644"/>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0.03531</cdr:x>
      <cdr:y>0.03081</cdr:y>
    </cdr:from>
    <cdr:to>
      <cdr:x>0.25865</cdr:x>
      <cdr:y>0.10128</cdr:y>
    </cdr:to>
    <cdr:sp macro="" textlink="">
      <cdr:nvSpPr>
        <cdr:cNvPr id="2051" name="Text Box 3"/>
        <cdr:cNvSpPr txBox="1">
          <a:spLocks xmlns:a="http://schemas.openxmlformats.org/drawingml/2006/main" noChangeArrowheads="1"/>
        </cdr:cNvSpPr>
      </cdr:nvSpPr>
      <cdr:spPr bwMode="auto">
        <a:xfrm xmlns:a="http://schemas.openxmlformats.org/drawingml/2006/main">
          <a:off x="328125" y="186539"/>
          <a:ext cx="2075247" cy="42667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ysClr val="windowText" lastClr="000000"/>
              </a:solidFill>
              <a:latin typeface="Arial" panose="020B0604020202020204" pitchFamily="34" charset="0"/>
              <a:cs typeface="Arial" panose="020B0604020202020204" pitchFamily="34" charset="0"/>
            </a:rPr>
            <a:t>Baseline data reference year</a:t>
          </a:r>
        </a:p>
        <a:p xmlns:a="http://schemas.openxmlformats.org/drawingml/2006/main">
          <a:pPr algn="ctr" rtl="0">
            <a:defRPr sz="1000"/>
          </a:pPr>
          <a:r>
            <a:rPr lang="en-GB" sz="800" b="0" i="0" u="none" strike="noStrike" baseline="0">
              <a:solidFill>
                <a:sysClr val="windowText" lastClr="000000"/>
              </a:solidFill>
              <a:latin typeface="Arial" panose="020B0604020202020204" pitchFamily="34" charset="0"/>
              <a:cs typeface="Arial" panose="020B0604020202020204" pitchFamily="34" charset="0"/>
            </a:rPr>
            <a:t>for monitoring progress</a:t>
          </a:r>
        </a:p>
      </cdr:txBody>
    </cdr:sp>
  </cdr:relSizeAnchor>
  <cdr:relSizeAnchor xmlns:cdr="http://schemas.openxmlformats.org/drawingml/2006/chartDrawing">
    <cdr:from>
      <cdr:x>0.76903</cdr:x>
      <cdr:y>0.03144</cdr:y>
    </cdr:from>
    <cdr:to>
      <cdr:x>0.93373</cdr:x>
      <cdr:y>0.08315</cdr:y>
    </cdr:to>
    <cdr:sp macro="" textlink="">
      <cdr:nvSpPr>
        <cdr:cNvPr id="2052" name="Text Box 4"/>
        <cdr:cNvSpPr txBox="1">
          <a:spLocks xmlns:a="http://schemas.openxmlformats.org/drawingml/2006/main" noChangeArrowheads="1"/>
        </cdr:cNvSpPr>
      </cdr:nvSpPr>
      <cdr:spPr bwMode="auto">
        <a:xfrm xmlns:a="http://schemas.openxmlformats.org/drawingml/2006/main">
          <a:off x="7145757" y="190350"/>
          <a:ext cx="1530371" cy="3130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ysClr val="windowText" lastClr="000000"/>
              </a:solidFill>
              <a:latin typeface="Arial" panose="020B0604020202020204" pitchFamily="34" charset="0"/>
              <a:cs typeface="Arial" panose="020B0604020202020204" pitchFamily="34" charset="0"/>
            </a:rPr>
            <a:t>Data reference year for assessing target achievement</a:t>
          </a:r>
        </a:p>
      </cdr:txBody>
    </cdr:sp>
  </cdr:relSizeAnchor>
  <cdr:relSizeAnchor xmlns:cdr="http://schemas.openxmlformats.org/drawingml/2006/chartDrawing">
    <cdr:from>
      <cdr:x>0.1491</cdr:x>
      <cdr:y>0.07701</cdr:y>
    </cdr:from>
    <cdr:to>
      <cdr:x>0.15053</cdr:x>
      <cdr:y>0.71067</cdr:y>
    </cdr:to>
    <cdr:cxnSp macro="">
      <cdr:nvCxnSpPr>
        <cdr:cNvPr id="4" name="Straight Arrow Connector 3"/>
        <cdr:cNvCxnSpPr/>
      </cdr:nvCxnSpPr>
      <cdr:spPr>
        <a:xfrm xmlns:a="http://schemas.openxmlformats.org/drawingml/2006/main">
          <a:off x="1385457" y="466266"/>
          <a:ext cx="13287" cy="383662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0.87357</cdr:x>
      <cdr:y>0.0887</cdr:y>
    </cdr:from>
    <cdr:to>
      <cdr:x>0.875</cdr:x>
      <cdr:y>0.72236</cdr:y>
    </cdr:to>
    <cdr:cxnSp macro="">
      <cdr:nvCxnSpPr>
        <cdr:cNvPr id="10" name="Straight Arrow Connector 9"/>
        <cdr:cNvCxnSpPr/>
      </cdr:nvCxnSpPr>
      <cdr:spPr>
        <a:xfrm xmlns:a="http://schemas.openxmlformats.org/drawingml/2006/main">
          <a:off x="8117076" y="537042"/>
          <a:ext cx="13322" cy="3836644"/>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B4CEF8F05CE4BBA0722824993F915" ma:contentTypeVersion="" ma:contentTypeDescription="Een nieuw document maken." ma:contentTypeScope="" ma:versionID="de8ca5861859cf70d538b70387a1dc58">
  <xsd:schema xmlns:xsd="http://www.w3.org/2001/XMLSchema" xmlns:xs="http://www.w3.org/2001/XMLSchema" xmlns:p="http://schemas.microsoft.com/office/2006/metadata/properties" xmlns:ns2="0d725d6a-1aec-4fbd-aa3b-e65269f0cb6a" targetNamespace="http://schemas.microsoft.com/office/2006/metadata/properties" ma:root="true" ma:fieldsID="c3186b6c83ebb2f5d762765872030c21" ns2:_="">
    <xsd:import namespace="0d725d6a-1aec-4fbd-aa3b-e65269f0c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25d6a-1aec-4fbd-aa3b-e65269f0c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FEF8C-6F67-49F0-84CE-B514262E3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25d6a-1aec-4fbd-aa3b-e65269f0c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431CD-0B7E-4532-A71D-ECD52D13CD3D}">
  <ds:schemaRefs>
    <ds:schemaRef ds:uri="http://schemas.openxmlformats.org/officeDocument/2006/bibliography"/>
  </ds:schemaRefs>
</ds:datastoreItem>
</file>

<file path=customXml/itemProps3.xml><?xml version="1.0" encoding="utf-8"?>
<ds:datastoreItem xmlns:ds="http://schemas.openxmlformats.org/officeDocument/2006/customXml" ds:itemID="{449157BF-6EDF-4056-9DD1-F77B5980D1F2}">
  <ds:schemaRefs>
    <ds:schemaRef ds:uri="http://schemas.microsoft.com/sharepoint/v3/contenttype/forms"/>
  </ds:schemaRefs>
</ds:datastoreItem>
</file>

<file path=customXml/itemProps4.xml><?xml version="1.0" encoding="utf-8"?>
<ds:datastoreItem xmlns:ds="http://schemas.openxmlformats.org/officeDocument/2006/customXml" ds:itemID="{C8310A9A-F176-4FD8-B59E-B0C6D509FC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rep.dot</Template>
  <TotalTime>23</TotalTime>
  <Pages>46</Pages>
  <Words>17837</Words>
  <Characters>98104</Characters>
  <Application>Microsoft Office Word</Application>
  <DocSecurity>0</DocSecurity>
  <Lines>817</Lines>
  <Paragraphs>231</Paragraphs>
  <ScaleCrop>false</ScaleCrop>
  <HeadingPairs>
    <vt:vector size="8" baseType="variant">
      <vt:variant>
        <vt:lpstr>Titel</vt:lpstr>
      </vt:variant>
      <vt:variant>
        <vt:i4>1</vt:i4>
      </vt:variant>
      <vt:variant>
        <vt:lpstr>Title</vt:lpstr>
      </vt:variant>
      <vt:variant>
        <vt:i4>1</vt:i4>
      </vt:variant>
      <vt:variant>
        <vt:lpstr>Headings</vt:lpstr>
      </vt:variant>
      <vt:variant>
        <vt:i4>22</vt:i4>
      </vt:variant>
      <vt:variant>
        <vt:lpstr>Titre</vt:lpstr>
      </vt:variant>
      <vt:variant>
        <vt:i4>1</vt:i4>
      </vt:variant>
    </vt:vector>
  </HeadingPairs>
  <TitlesOfParts>
    <vt:vector size="25" baseType="lpstr">
      <vt:lpstr/>
      <vt:lpstr/>
      <vt:lpstr>Summary  </vt:lpstr>
      <vt:lpstr>Overall situation  </vt:lpstr>
      <vt:lpstr>    Overall situation of child poverty or social exclusion </vt:lpstr>
      <vt:lpstr>    Overall situation of children living in precarious family situations  </vt:lpstr>
      <vt:lpstr>    Overall situation of children residing in institutions </vt:lpstr>
      <vt:lpstr>    Overall situation of children of recent migrants and refugees</vt:lpstr>
      <vt:lpstr>    Overall situation of children with disabilities </vt:lpstr>
      <vt:lpstr>Description and assessment of main policies and programmes in place and recommen</vt:lpstr>
      <vt:lpstr>    The Netherlands: International and national context </vt:lpstr>
      <vt:lpstr>    Description and assessment of main policies in place and recommendations for imp</vt:lpstr>
      <vt:lpstr>    Description and assessment of main policies in place and recommendations for imp</vt:lpstr>
      <vt:lpstr>    3.3	Description and assessment of main policies in place and recommendations for</vt:lpstr>
      <vt:lpstr>    Description and assessment of main policies in place and recommendations for imp</vt:lpstr>
      <vt:lpstr>    Description and assessment of main policies in place and recommendations for imp</vt:lpstr>
      <vt:lpstr>    Summary of main weaknesses and priorities for future action as highlighted in Se</vt:lpstr>
      <vt:lpstr>    Description and assessment of main policies in place and recommendations for imp</vt:lpstr>
      <vt:lpstr>    Assessment of integrated, comprehensive and strategic approach  </vt:lpstr>
      <vt:lpstr>    Costs of five rights </vt:lpstr>
      <vt:lpstr>Use of EU Funds </vt:lpstr>
      <vt:lpstr>    Extent of use </vt:lpstr>
      <vt:lpstr>    Effectiveness</vt:lpstr>
      <vt:lpstr>    Improvements</vt:lpstr>
      <vt:lpstr/>
    </vt:vector>
  </TitlesOfParts>
  <Company>European Commission</Company>
  <LinksUpToDate>false</LinksUpToDate>
  <CharactersWithSpaces>115710</CharactersWithSpaces>
  <SharedDoc>false</SharedDoc>
  <HLinks>
    <vt:vector size="354" baseType="variant">
      <vt:variant>
        <vt:i4>4325394</vt:i4>
      </vt:variant>
      <vt:variant>
        <vt:i4>228</vt:i4>
      </vt:variant>
      <vt:variant>
        <vt:i4>0</vt:i4>
      </vt:variant>
      <vt:variant>
        <vt:i4>5</vt:i4>
      </vt:variant>
      <vt:variant>
        <vt:lpwstr>https://www.zorgwijzer.nl/faq/wlz</vt:lpwstr>
      </vt:variant>
      <vt:variant>
        <vt:lpwstr/>
      </vt:variant>
      <vt:variant>
        <vt:i4>6946867</vt:i4>
      </vt:variant>
      <vt:variant>
        <vt:i4>225</vt:i4>
      </vt:variant>
      <vt:variant>
        <vt:i4>0</vt:i4>
      </vt:variant>
      <vt:variant>
        <vt:i4>5</vt:i4>
      </vt:variant>
      <vt:variant>
        <vt:lpwstr>https://www.regelhulp.nl/ik-heb-hulp-nodig/</vt:lpwstr>
      </vt:variant>
      <vt:variant>
        <vt:lpwstr/>
      </vt:variant>
      <vt:variant>
        <vt:i4>4980739</vt:i4>
      </vt:variant>
      <vt:variant>
        <vt:i4>222</vt:i4>
      </vt:variant>
      <vt:variant>
        <vt:i4>0</vt:i4>
      </vt:variant>
      <vt:variant>
        <vt:i4>5</vt:i4>
      </vt:variant>
      <vt:variant>
        <vt:lpwstr>https://tinyurl.com/yyt5pz3g</vt:lpwstr>
      </vt:variant>
      <vt:variant>
        <vt:lpwstr/>
      </vt:variant>
      <vt:variant>
        <vt:i4>327697</vt:i4>
      </vt:variant>
      <vt:variant>
        <vt:i4>219</vt:i4>
      </vt:variant>
      <vt:variant>
        <vt:i4>0</vt:i4>
      </vt:variant>
      <vt:variant>
        <vt:i4>5</vt:i4>
      </vt:variant>
      <vt:variant>
        <vt:lpwstr>https://tinyurl.com/y52ap9gu</vt:lpwstr>
      </vt:variant>
      <vt:variant>
        <vt:lpwstr/>
      </vt:variant>
      <vt:variant>
        <vt:i4>4915271</vt:i4>
      </vt:variant>
      <vt:variant>
        <vt:i4>216</vt:i4>
      </vt:variant>
      <vt:variant>
        <vt:i4>0</vt:i4>
      </vt:variant>
      <vt:variant>
        <vt:i4>5</vt:i4>
      </vt:variant>
      <vt:variant>
        <vt:lpwstr>https://tinyurl.com/y3bddtuu</vt:lpwstr>
      </vt:variant>
      <vt:variant>
        <vt:lpwstr/>
      </vt:variant>
      <vt:variant>
        <vt:i4>1966088</vt:i4>
      </vt:variant>
      <vt:variant>
        <vt:i4>213</vt:i4>
      </vt:variant>
      <vt:variant>
        <vt:i4>0</vt:i4>
      </vt:variant>
      <vt:variant>
        <vt:i4>5</vt:i4>
      </vt:variant>
      <vt:variant>
        <vt:lpwstr>http://www.kinderenintel.nl/</vt:lpwstr>
      </vt:variant>
      <vt:variant>
        <vt:lpwstr/>
      </vt:variant>
      <vt:variant>
        <vt:i4>5636163</vt:i4>
      </vt:variant>
      <vt:variant>
        <vt:i4>210</vt:i4>
      </vt:variant>
      <vt:variant>
        <vt:i4>0</vt:i4>
      </vt:variant>
      <vt:variant>
        <vt:i4>5</vt:i4>
      </vt:variant>
      <vt:variant>
        <vt:lpwstr>https://www.svb.nl/int/en/kinderbijslag/index.jsp</vt:lpwstr>
      </vt:variant>
      <vt:variant>
        <vt:lpwstr/>
      </vt:variant>
      <vt:variant>
        <vt:i4>4521995</vt:i4>
      </vt:variant>
      <vt:variant>
        <vt:i4>207</vt:i4>
      </vt:variant>
      <vt:variant>
        <vt:i4>0</vt:i4>
      </vt:variant>
      <vt:variant>
        <vt:i4>5</vt:i4>
      </vt:variant>
      <vt:variant>
        <vt:lpwstr>https://tinyurl.com/y4dz8ccu</vt:lpwstr>
      </vt:variant>
      <vt:variant>
        <vt:lpwstr/>
      </vt:variant>
      <vt:variant>
        <vt:i4>4849677</vt:i4>
      </vt:variant>
      <vt:variant>
        <vt:i4>204</vt:i4>
      </vt:variant>
      <vt:variant>
        <vt:i4>0</vt:i4>
      </vt:variant>
      <vt:variant>
        <vt:i4>5</vt:i4>
      </vt:variant>
      <vt:variant>
        <vt:lpwstr>https://tinyurl.com/y3mk7mcb</vt:lpwstr>
      </vt:variant>
      <vt:variant>
        <vt:lpwstr/>
      </vt:variant>
      <vt:variant>
        <vt:i4>1900575</vt:i4>
      </vt:variant>
      <vt:variant>
        <vt:i4>201</vt:i4>
      </vt:variant>
      <vt:variant>
        <vt:i4>0</vt:i4>
      </vt:variant>
      <vt:variant>
        <vt:i4>5</vt:i4>
      </vt:variant>
      <vt:variant>
        <vt:lpwstr>https://www.ohchr.org/en/professionalinterest/pages/crc.aspx</vt:lpwstr>
      </vt:variant>
      <vt:variant>
        <vt:lpwstr/>
      </vt:variant>
      <vt:variant>
        <vt:i4>8060989</vt:i4>
      </vt:variant>
      <vt:variant>
        <vt:i4>198</vt:i4>
      </vt:variant>
      <vt:variant>
        <vt:i4>0</vt:i4>
      </vt:variant>
      <vt:variant>
        <vt:i4>5</vt:i4>
      </vt:variant>
      <vt:variant>
        <vt:lpwstr>https://www.ohchr.org/EN/HRBodies/CRC/Pages/Membership.aspx</vt:lpwstr>
      </vt:variant>
      <vt:variant>
        <vt:lpwstr/>
      </vt:variant>
      <vt:variant>
        <vt:i4>8126509</vt:i4>
      </vt:variant>
      <vt:variant>
        <vt:i4>195</vt:i4>
      </vt:variant>
      <vt:variant>
        <vt:i4>0</vt:i4>
      </vt:variant>
      <vt:variant>
        <vt:i4>5</vt:i4>
      </vt:variant>
      <vt:variant>
        <vt:lpwstr>https://www.nvm.nl/marktinformatie/marktinformatie</vt:lpwstr>
      </vt:variant>
      <vt:variant>
        <vt:lpwstr/>
      </vt:variant>
      <vt:variant>
        <vt:i4>1245253</vt:i4>
      </vt:variant>
      <vt:variant>
        <vt:i4>192</vt:i4>
      </vt:variant>
      <vt:variant>
        <vt:i4>0</vt:i4>
      </vt:variant>
      <vt:variant>
        <vt:i4>5</vt:i4>
      </vt:variant>
      <vt:variant>
        <vt:lpwstr>https://tinyurl.com/yy2w7ttt</vt:lpwstr>
      </vt:variant>
      <vt:variant>
        <vt:lpwstr/>
      </vt:variant>
      <vt:variant>
        <vt:i4>5111833</vt:i4>
      </vt:variant>
      <vt:variant>
        <vt:i4>189</vt:i4>
      </vt:variant>
      <vt:variant>
        <vt:i4>0</vt:i4>
      </vt:variant>
      <vt:variant>
        <vt:i4>5</vt:i4>
      </vt:variant>
      <vt:variant>
        <vt:lpwstr>https://tinyurl.com/y2ajta8j</vt:lpwstr>
      </vt:variant>
      <vt:variant>
        <vt:lpwstr/>
      </vt:variant>
      <vt:variant>
        <vt:i4>327773</vt:i4>
      </vt:variant>
      <vt:variant>
        <vt:i4>186</vt:i4>
      </vt:variant>
      <vt:variant>
        <vt:i4>0</vt:i4>
      </vt:variant>
      <vt:variant>
        <vt:i4>5</vt:i4>
      </vt:variant>
      <vt:variant>
        <vt:lpwstr>https://www.government.nl/topics/youth-policy/youth-care-and-child-protection</vt:lpwstr>
      </vt:variant>
      <vt:variant>
        <vt:lpwstr/>
      </vt:variant>
      <vt:variant>
        <vt:i4>196626</vt:i4>
      </vt:variant>
      <vt:variant>
        <vt:i4>183</vt:i4>
      </vt:variant>
      <vt:variant>
        <vt:i4>0</vt:i4>
      </vt:variant>
      <vt:variant>
        <vt:i4>5</vt:i4>
      </vt:variant>
      <vt:variant>
        <vt:lpwstr>https://tinyurl.com/yyf222rg</vt:lpwstr>
      </vt:variant>
      <vt:variant>
        <vt:lpwstr/>
      </vt:variant>
      <vt:variant>
        <vt:i4>5242882</vt:i4>
      </vt:variant>
      <vt:variant>
        <vt:i4>180</vt:i4>
      </vt:variant>
      <vt:variant>
        <vt:i4>0</vt:i4>
      </vt:variant>
      <vt:variant>
        <vt:i4>5</vt:i4>
      </vt:variant>
      <vt:variant>
        <vt:lpwstr>https://tinyurl.com/y2p26yp4</vt:lpwstr>
      </vt:variant>
      <vt:variant>
        <vt:lpwstr/>
      </vt:variant>
      <vt:variant>
        <vt:i4>5767199</vt:i4>
      </vt:variant>
      <vt:variant>
        <vt:i4>177</vt:i4>
      </vt:variant>
      <vt:variant>
        <vt:i4>0</vt:i4>
      </vt:variant>
      <vt:variant>
        <vt:i4>5</vt:i4>
      </vt:variant>
      <vt:variant>
        <vt:lpwstr>https://tinyurl.com/y3m47vq4</vt:lpwstr>
      </vt:variant>
      <vt:variant>
        <vt:lpwstr/>
      </vt:variant>
      <vt:variant>
        <vt:i4>5439556</vt:i4>
      </vt:variant>
      <vt:variant>
        <vt:i4>174</vt:i4>
      </vt:variant>
      <vt:variant>
        <vt:i4>0</vt:i4>
      </vt:variant>
      <vt:variant>
        <vt:i4>5</vt:i4>
      </vt:variant>
      <vt:variant>
        <vt:lpwstr>https://tinyurl.com/yxs6tywy</vt:lpwstr>
      </vt:variant>
      <vt:variant>
        <vt:lpwstr/>
      </vt:variant>
      <vt:variant>
        <vt:i4>393286</vt:i4>
      </vt:variant>
      <vt:variant>
        <vt:i4>171</vt:i4>
      </vt:variant>
      <vt:variant>
        <vt:i4>0</vt:i4>
      </vt:variant>
      <vt:variant>
        <vt:i4>5</vt:i4>
      </vt:variant>
      <vt:variant>
        <vt:lpwstr>https://tinyurl.com/y3uzagf5</vt:lpwstr>
      </vt:variant>
      <vt:variant>
        <vt:lpwstr/>
      </vt:variant>
      <vt:variant>
        <vt:i4>1769474</vt:i4>
      </vt:variant>
      <vt:variant>
        <vt:i4>168</vt:i4>
      </vt:variant>
      <vt:variant>
        <vt:i4>0</vt:i4>
      </vt:variant>
      <vt:variant>
        <vt:i4>5</vt:i4>
      </vt:variant>
      <vt:variant>
        <vt:lpwstr>https://www.vluchtelingenwerk.nl/feiten-cijfers/cijfers/bescherming-nederland</vt:lpwstr>
      </vt:variant>
      <vt:variant>
        <vt:lpwstr/>
      </vt:variant>
      <vt:variant>
        <vt:i4>1966155</vt:i4>
      </vt:variant>
      <vt:variant>
        <vt:i4>165</vt:i4>
      </vt:variant>
      <vt:variant>
        <vt:i4>0</vt:i4>
      </vt:variant>
      <vt:variant>
        <vt:i4>5</vt:i4>
      </vt:variant>
      <vt:variant>
        <vt:lpwstr>https://tinyurl.com/y4q4auov</vt:lpwstr>
      </vt:variant>
      <vt:variant>
        <vt:lpwstr/>
      </vt:variant>
      <vt:variant>
        <vt:i4>3670063</vt:i4>
      </vt:variant>
      <vt:variant>
        <vt:i4>162</vt:i4>
      </vt:variant>
      <vt:variant>
        <vt:i4>0</vt:i4>
      </vt:variant>
      <vt:variant>
        <vt:i4>5</vt:i4>
      </vt:variant>
      <vt:variant>
        <vt:lpwstr>http://tinyurl.com/y5nfpyyb</vt:lpwstr>
      </vt:variant>
      <vt:variant>
        <vt:lpwstr/>
      </vt:variant>
      <vt:variant>
        <vt:i4>393289</vt:i4>
      </vt:variant>
      <vt:variant>
        <vt:i4>159</vt:i4>
      </vt:variant>
      <vt:variant>
        <vt:i4>0</vt:i4>
      </vt:variant>
      <vt:variant>
        <vt:i4>5</vt:i4>
      </vt:variant>
      <vt:variant>
        <vt:lpwstr>https://tinyurl.com/yxzdobhe</vt:lpwstr>
      </vt:variant>
      <vt:variant>
        <vt:lpwstr/>
      </vt:variant>
      <vt:variant>
        <vt:i4>7798885</vt:i4>
      </vt:variant>
      <vt:variant>
        <vt:i4>156</vt:i4>
      </vt:variant>
      <vt:variant>
        <vt:i4>0</vt:i4>
      </vt:variant>
      <vt:variant>
        <vt:i4>5</vt:i4>
      </vt:variant>
      <vt:variant>
        <vt:lpwstr>http://tinyurl.com/y3zje97b</vt:lpwstr>
      </vt:variant>
      <vt:variant>
        <vt:lpwstr/>
      </vt:variant>
      <vt:variant>
        <vt:i4>3932278</vt:i4>
      </vt:variant>
      <vt:variant>
        <vt:i4>153</vt:i4>
      </vt:variant>
      <vt:variant>
        <vt:i4>0</vt:i4>
      </vt:variant>
      <vt:variant>
        <vt:i4>5</vt:i4>
      </vt:variant>
      <vt:variant>
        <vt:lpwstr>https://www.government.nl/topics/housing/rented-housing</vt:lpwstr>
      </vt:variant>
      <vt:variant>
        <vt:lpwstr/>
      </vt:variant>
      <vt:variant>
        <vt:i4>1835076</vt:i4>
      </vt:variant>
      <vt:variant>
        <vt:i4>150</vt:i4>
      </vt:variant>
      <vt:variant>
        <vt:i4>0</vt:i4>
      </vt:variant>
      <vt:variant>
        <vt:i4>5</vt:i4>
      </vt:variant>
      <vt:variant>
        <vt:lpwstr>https://www.government.nl/topics/human-rights/human-rights-in-the-netherlands</vt:lpwstr>
      </vt:variant>
      <vt:variant>
        <vt:lpwstr/>
      </vt:variant>
      <vt:variant>
        <vt:i4>1966173</vt:i4>
      </vt:variant>
      <vt:variant>
        <vt:i4>147</vt:i4>
      </vt:variant>
      <vt:variant>
        <vt:i4>0</vt:i4>
      </vt:variant>
      <vt:variant>
        <vt:i4>5</vt:i4>
      </vt:variant>
      <vt:variant>
        <vt:lpwstr>https://tinyurl.com/y5m7qkuj</vt:lpwstr>
      </vt:variant>
      <vt:variant>
        <vt:lpwstr/>
      </vt:variant>
      <vt:variant>
        <vt:i4>720927</vt:i4>
      </vt:variant>
      <vt:variant>
        <vt:i4>144</vt:i4>
      </vt:variant>
      <vt:variant>
        <vt:i4>0</vt:i4>
      </vt:variant>
      <vt:variant>
        <vt:i4>5</vt:i4>
      </vt:variant>
      <vt:variant>
        <vt:lpwstr>https://tinyurl.com/yxgg9qux</vt:lpwstr>
      </vt:variant>
      <vt:variant>
        <vt:lpwstr/>
      </vt:variant>
      <vt:variant>
        <vt:i4>5177410</vt:i4>
      </vt:variant>
      <vt:variant>
        <vt:i4>141</vt:i4>
      </vt:variant>
      <vt:variant>
        <vt:i4>0</vt:i4>
      </vt:variant>
      <vt:variant>
        <vt:i4>5</vt:i4>
      </vt:variant>
      <vt:variant>
        <vt:lpwstr>https://tinyurl.com/y4zsgbkw</vt:lpwstr>
      </vt:variant>
      <vt:variant>
        <vt:lpwstr/>
      </vt:variant>
      <vt:variant>
        <vt:i4>6029398</vt:i4>
      </vt:variant>
      <vt:variant>
        <vt:i4>135</vt:i4>
      </vt:variant>
      <vt:variant>
        <vt:i4>0</vt:i4>
      </vt:variant>
      <vt:variant>
        <vt:i4>5</vt:i4>
      </vt:variant>
      <vt:variant>
        <vt:lpwstr>https://www.eurochild.org/fileadmin/public/05_Library/Thematic_priorities/06_Children_in_Alternative_Care/Eurochild/Eurochild_Publication_-_Children_in_Alternative_Care_-_2nd_Edition_January2010.pdf</vt:lpwstr>
      </vt:variant>
      <vt:variant>
        <vt:lpwstr/>
      </vt:variant>
      <vt:variant>
        <vt:i4>7733348</vt:i4>
      </vt:variant>
      <vt:variant>
        <vt:i4>132</vt:i4>
      </vt:variant>
      <vt:variant>
        <vt:i4>0</vt:i4>
      </vt:variant>
      <vt:variant>
        <vt:i4>5</vt:i4>
      </vt:variant>
      <vt:variant>
        <vt:lpwstr>http://www.openingdoors.eu/category/resources/</vt:lpwstr>
      </vt:variant>
      <vt:variant>
        <vt:lpwstr/>
      </vt:variant>
      <vt:variant>
        <vt:i4>1048644</vt:i4>
      </vt:variant>
      <vt:variant>
        <vt:i4>129</vt:i4>
      </vt:variant>
      <vt:variant>
        <vt:i4>0</vt:i4>
      </vt:variant>
      <vt:variant>
        <vt:i4>5</vt:i4>
      </vt:variant>
      <vt:variant>
        <vt:lpwstr>https://www.unicef-irc.org/databases/transmonee/</vt:lpwstr>
      </vt:variant>
      <vt:variant>
        <vt:lpwstr/>
      </vt:variant>
      <vt:variant>
        <vt:i4>1572921</vt:i4>
      </vt:variant>
      <vt:variant>
        <vt:i4>122</vt:i4>
      </vt:variant>
      <vt:variant>
        <vt:i4>0</vt:i4>
      </vt:variant>
      <vt:variant>
        <vt:i4>5</vt:i4>
      </vt:variant>
      <vt:variant>
        <vt:lpwstr/>
      </vt:variant>
      <vt:variant>
        <vt:lpwstr>_Toc532388678</vt:lpwstr>
      </vt:variant>
      <vt:variant>
        <vt:i4>1572921</vt:i4>
      </vt:variant>
      <vt:variant>
        <vt:i4>116</vt:i4>
      </vt:variant>
      <vt:variant>
        <vt:i4>0</vt:i4>
      </vt:variant>
      <vt:variant>
        <vt:i4>5</vt:i4>
      </vt:variant>
      <vt:variant>
        <vt:lpwstr/>
      </vt:variant>
      <vt:variant>
        <vt:lpwstr>_Toc532388677</vt:lpwstr>
      </vt:variant>
      <vt:variant>
        <vt:i4>1572921</vt:i4>
      </vt:variant>
      <vt:variant>
        <vt:i4>110</vt:i4>
      </vt:variant>
      <vt:variant>
        <vt:i4>0</vt:i4>
      </vt:variant>
      <vt:variant>
        <vt:i4>5</vt:i4>
      </vt:variant>
      <vt:variant>
        <vt:lpwstr/>
      </vt:variant>
      <vt:variant>
        <vt:lpwstr>_Toc532388676</vt:lpwstr>
      </vt:variant>
      <vt:variant>
        <vt:i4>1572921</vt:i4>
      </vt:variant>
      <vt:variant>
        <vt:i4>104</vt:i4>
      </vt:variant>
      <vt:variant>
        <vt:i4>0</vt:i4>
      </vt:variant>
      <vt:variant>
        <vt:i4>5</vt:i4>
      </vt:variant>
      <vt:variant>
        <vt:lpwstr/>
      </vt:variant>
      <vt:variant>
        <vt:lpwstr>_Toc532388675</vt:lpwstr>
      </vt:variant>
      <vt:variant>
        <vt:i4>1572921</vt:i4>
      </vt:variant>
      <vt:variant>
        <vt:i4>98</vt:i4>
      </vt:variant>
      <vt:variant>
        <vt:i4>0</vt:i4>
      </vt:variant>
      <vt:variant>
        <vt:i4>5</vt:i4>
      </vt:variant>
      <vt:variant>
        <vt:lpwstr/>
      </vt:variant>
      <vt:variant>
        <vt:lpwstr>_Toc532388674</vt:lpwstr>
      </vt:variant>
      <vt:variant>
        <vt:i4>1572921</vt:i4>
      </vt:variant>
      <vt:variant>
        <vt:i4>92</vt:i4>
      </vt:variant>
      <vt:variant>
        <vt:i4>0</vt:i4>
      </vt:variant>
      <vt:variant>
        <vt:i4>5</vt:i4>
      </vt:variant>
      <vt:variant>
        <vt:lpwstr/>
      </vt:variant>
      <vt:variant>
        <vt:lpwstr>_Toc532388673</vt:lpwstr>
      </vt:variant>
      <vt:variant>
        <vt:i4>1572921</vt:i4>
      </vt:variant>
      <vt:variant>
        <vt:i4>86</vt:i4>
      </vt:variant>
      <vt:variant>
        <vt:i4>0</vt:i4>
      </vt:variant>
      <vt:variant>
        <vt:i4>5</vt:i4>
      </vt:variant>
      <vt:variant>
        <vt:lpwstr/>
      </vt:variant>
      <vt:variant>
        <vt:lpwstr>_Toc532388672</vt:lpwstr>
      </vt:variant>
      <vt:variant>
        <vt:i4>1572921</vt:i4>
      </vt:variant>
      <vt:variant>
        <vt:i4>80</vt:i4>
      </vt:variant>
      <vt:variant>
        <vt:i4>0</vt:i4>
      </vt:variant>
      <vt:variant>
        <vt:i4>5</vt:i4>
      </vt:variant>
      <vt:variant>
        <vt:lpwstr/>
      </vt:variant>
      <vt:variant>
        <vt:lpwstr>_Toc532388671</vt:lpwstr>
      </vt:variant>
      <vt:variant>
        <vt:i4>1572921</vt:i4>
      </vt:variant>
      <vt:variant>
        <vt:i4>77</vt:i4>
      </vt:variant>
      <vt:variant>
        <vt:i4>0</vt:i4>
      </vt:variant>
      <vt:variant>
        <vt:i4>5</vt:i4>
      </vt:variant>
      <vt:variant>
        <vt:lpwstr/>
      </vt:variant>
      <vt:variant>
        <vt:lpwstr>_Toc532388670</vt:lpwstr>
      </vt:variant>
      <vt:variant>
        <vt:i4>1638457</vt:i4>
      </vt:variant>
      <vt:variant>
        <vt:i4>74</vt:i4>
      </vt:variant>
      <vt:variant>
        <vt:i4>0</vt:i4>
      </vt:variant>
      <vt:variant>
        <vt:i4>5</vt:i4>
      </vt:variant>
      <vt:variant>
        <vt:lpwstr/>
      </vt:variant>
      <vt:variant>
        <vt:lpwstr>_Toc532388669</vt:lpwstr>
      </vt:variant>
      <vt:variant>
        <vt:i4>1638457</vt:i4>
      </vt:variant>
      <vt:variant>
        <vt:i4>71</vt:i4>
      </vt:variant>
      <vt:variant>
        <vt:i4>0</vt:i4>
      </vt:variant>
      <vt:variant>
        <vt:i4>5</vt:i4>
      </vt:variant>
      <vt:variant>
        <vt:lpwstr/>
      </vt:variant>
      <vt:variant>
        <vt:lpwstr>_Toc532388668</vt:lpwstr>
      </vt:variant>
      <vt:variant>
        <vt:i4>1638457</vt:i4>
      </vt:variant>
      <vt:variant>
        <vt:i4>68</vt:i4>
      </vt:variant>
      <vt:variant>
        <vt:i4>0</vt:i4>
      </vt:variant>
      <vt:variant>
        <vt:i4>5</vt:i4>
      </vt:variant>
      <vt:variant>
        <vt:lpwstr/>
      </vt:variant>
      <vt:variant>
        <vt:lpwstr>_Toc532388667</vt:lpwstr>
      </vt:variant>
      <vt:variant>
        <vt:i4>1638457</vt:i4>
      </vt:variant>
      <vt:variant>
        <vt:i4>62</vt:i4>
      </vt:variant>
      <vt:variant>
        <vt:i4>0</vt:i4>
      </vt:variant>
      <vt:variant>
        <vt:i4>5</vt:i4>
      </vt:variant>
      <vt:variant>
        <vt:lpwstr/>
      </vt:variant>
      <vt:variant>
        <vt:lpwstr>_Toc532388666</vt:lpwstr>
      </vt:variant>
      <vt:variant>
        <vt:i4>1638457</vt:i4>
      </vt:variant>
      <vt:variant>
        <vt:i4>56</vt:i4>
      </vt:variant>
      <vt:variant>
        <vt:i4>0</vt:i4>
      </vt:variant>
      <vt:variant>
        <vt:i4>5</vt:i4>
      </vt:variant>
      <vt:variant>
        <vt:lpwstr/>
      </vt:variant>
      <vt:variant>
        <vt:lpwstr>_Toc532388665</vt:lpwstr>
      </vt:variant>
      <vt:variant>
        <vt:i4>1638457</vt:i4>
      </vt:variant>
      <vt:variant>
        <vt:i4>50</vt:i4>
      </vt:variant>
      <vt:variant>
        <vt:i4>0</vt:i4>
      </vt:variant>
      <vt:variant>
        <vt:i4>5</vt:i4>
      </vt:variant>
      <vt:variant>
        <vt:lpwstr/>
      </vt:variant>
      <vt:variant>
        <vt:lpwstr>_Toc532388664</vt:lpwstr>
      </vt:variant>
      <vt:variant>
        <vt:i4>1638457</vt:i4>
      </vt:variant>
      <vt:variant>
        <vt:i4>44</vt:i4>
      </vt:variant>
      <vt:variant>
        <vt:i4>0</vt:i4>
      </vt:variant>
      <vt:variant>
        <vt:i4>5</vt:i4>
      </vt:variant>
      <vt:variant>
        <vt:lpwstr/>
      </vt:variant>
      <vt:variant>
        <vt:lpwstr>_Toc532388663</vt:lpwstr>
      </vt:variant>
      <vt:variant>
        <vt:i4>1638457</vt:i4>
      </vt:variant>
      <vt:variant>
        <vt:i4>41</vt:i4>
      </vt:variant>
      <vt:variant>
        <vt:i4>0</vt:i4>
      </vt:variant>
      <vt:variant>
        <vt:i4>5</vt:i4>
      </vt:variant>
      <vt:variant>
        <vt:lpwstr/>
      </vt:variant>
      <vt:variant>
        <vt:lpwstr>_Toc532388662</vt:lpwstr>
      </vt:variant>
      <vt:variant>
        <vt:i4>1638457</vt:i4>
      </vt:variant>
      <vt:variant>
        <vt:i4>35</vt:i4>
      </vt:variant>
      <vt:variant>
        <vt:i4>0</vt:i4>
      </vt:variant>
      <vt:variant>
        <vt:i4>5</vt:i4>
      </vt:variant>
      <vt:variant>
        <vt:lpwstr/>
      </vt:variant>
      <vt:variant>
        <vt:lpwstr>_Toc532388661</vt:lpwstr>
      </vt:variant>
      <vt:variant>
        <vt:i4>1638457</vt:i4>
      </vt:variant>
      <vt:variant>
        <vt:i4>29</vt:i4>
      </vt:variant>
      <vt:variant>
        <vt:i4>0</vt:i4>
      </vt:variant>
      <vt:variant>
        <vt:i4>5</vt:i4>
      </vt:variant>
      <vt:variant>
        <vt:lpwstr/>
      </vt:variant>
      <vt:variant>
        <vt:lpwstr>_Toc532388660</vt:lpwstr>
      </vt:variant>
      <vt:variant>
        <vt:i4>1703993</vt:i4>
      </vt:variant>
      <vt:variant>
        <vt:i4>23</vt:i4>
      </vt:variant>
      <vt:variant>
        <vt:i4>0</vt:i4>
      </vt:variant>
      <vt:variant>
        <vt:i4>5</vt:i4>
      </vt:variant>
      <vt:variant>
        <vt:lpwstr/>
      </vt:variant>
      <vt:variant>
        <vt:lpwstr>_Toc532388659</vt:lpwstr>
      </vt:variant>
      <vt:variant>
        <vt:i4>1703993</vt:i4>
      </vt:variant>
      <vt:variant>
        <vt:i4>17</vt:i4>
      </vt:variant>
      <vt:variant>
        <vt:i4>0</vt:i4>
      </vt:variant>
      <vt:variant>
        <vt:i4>5</vt:i4>
      </vt:variant>
      <vt:variant>
        <vt:lpwstr/>
      </vt:variant>
      <vt:variant>
        <vt:lpwstr>_Toc532388658</vt:lpwstr>
      </vt:variant>
      <vt:variant>
        <vt:i4>1703993</vt:i4>
      </vt:variant>
      <vt:variant>
        <vt:i4>11</vt:i4>
      </vt:variant>
      <vt:variant>
        <vt:i4>0</vt:i4>
      </vt:variant>
      <vt:variant>
        <vt:i4>5</vt:i4>
      </vt:variant>
      <vt:variant>
        <vt:lpwstr/>
      </vt:variant>
      <vt:variant>
        <vt:lpwstr>_Toc532388657</vt:lpwstr>
      </vt:variant>
      <vt:variant>
        <vt:i4>4718719</vt:i4>
      </vt:variant>
      <vt:variant>
        <vt:i4>6</vt:i4>
      </vt:variant>
      <vt:variant>
        <vt:i4>0</vt:i4>
      </vt:variant>
      <vt:variant>
        <vt:i4>5</vt:i4>
      </vt:variant>
      <vt:variant>
        <vt:lpwstr>http://europa.eu.int/citizensrights/signpost/about/index_en.htm</vt:lpwstr>
      </vt:variant>
      <vt:variant>
        <vt:lpwstr>note1#note1</vt:lpwstr>
      </vt:variant>
      <vt:variant>
        <vt:i4>5505113</vt:i4>
      </vt:variant>
      <vt:variant>
        <vt:i4>3</vt:i4>
      </vt:variant>
      <vt:variant>
        <vt:i4>0</vt:i4>
      </vt:variant>
      <vt:variant>
        <vt:i4>5</vt:i4>
      </vt:variant>
      <vt:variant>
        <vt:lpwstr>https://ec.europa.eu/social/main.jsp?catId=1428&amp;langId=en</vt:lpwstr>
      </vt:variant>
      <vt:variant>
        <vt:lpwstr/>
      </vt:variant>
      <vt:variant>
        <vt:i4>8323149</vt:i4>
      </vt:variant>
      <vt:variant>
        <vt:i4>0</vt:i4>
      </vt:variant>
      <vt:variant>
        <vt:i4>0</vt:i4>
      </vt:variant>
      <vt:variant>
        <vt:i4>5</vt:i4>
      </vt:variant>
      <vt:variant>
        <vt:lpwstr>mailto:Julius.Opdebeke@ec.europa.eu</vt:lpwstr>
      </vt:variant>
      <vt:variant>
        <vt:lpwstr/>
      </vt:variant>
      <vt:variant>
        <vt:i4>3473458</vt:i4>
      </vt:variant>
      <vt:variant>
        <vt:i4>0</vt:i4>
      </vt:variant>
      <vt:variant>
        <vt:i4>0</vt:i4>
      </vt:variant>
      <vt:variant>
        <vt:i4>5</vt:i4>
      </vt:variant>
      <vt:variant>
        <vt:lpwstr>https://www.government.nl/topics/investing-in-dutch-housing/investing-in-rental-market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cp:lastModifiedBy>Bob van Waveren</cp:lastModifiedBy>
  <cp:revision>14</cp:revision>
  <cp:lastPrinted>2021-12-16T10:24:00Z</cp:lastPrinted>
  <dcterms:created xsi:type="dcterms:W3CDTF">2019-03-15T12:47:00Z</dcterms:created>
  <dcterms:modified xsi:type="dcterms:W3CDTF">2021-12-16T10:24:00Z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4.1XL XL [20040326]</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Yolande Petit</vt:lpwstr>
  </property>
  <property fmtid="{D5CDD505-2E9C-101B-9397-08002B2CF9AE}" pid="6" name="EL_Language">
    <vt:lpwstr>FR</vt:lpwstr>
  </property>
  <property fmtid="{D5CDD505-2E9C-101B-9397-08002B2CF9AE}" pid="7" name="EurolookVersion">
    <vt:lpwstr>4.1</vt:lpwstr>
  </property>
  <property fmtid="{D5CDD505-2E9C-101B-9397-08002B2CF9AE}" pid="8" name="Formatting">
    <vt:lpwstr>4.1</vt:lpwstr>
  </property>
  <property fmtid="{D5CDD505-2E9C-101B-9397-08002B2CF9AE}" pid="9" name="Language">
    <vt:lpwstr>FR</vt:lpwstr>
  </property>
  <property fmtid="{D5CDD505-2E9C-101B-9397-08002B2CF9AE}" pid="10" name="Last edited using">
    <vt:lpwstr>EL 4.6 Build 34000</vt:lpwstr>
  </property>
  <property fmtid="{D5CDD505-2E9C-101B-9397-08002B2CF9AE}" pid="11" name="TemplateVersion">
    <vt:lpwstr>4.1.5.8</vt:lpwstr>
  </property>
  <property fmtid="{D5CDD505-2E9C-101B-9397-08002B2CF9AE}" pid="12" name="Type">
    <vt:lpwstr>Eurolook Report</vt:lpwstr>
  </property>
  <property fmtid="{D5CDD505-2E9C-101B-9397-08002B2CF9AE}" pid="13" name="ContentTypeId">
    <vt:lpwstr>0x010100AB1B4CEF8F05CE4BBA0722824993F915</vt:lpwstr>
  </property>
  <property fmtid="{D5CDD505-2E9C-101B-9397-08002B2CF9AE}" pid="14" name="AuthorIds_UIVersion_2048">
    <vt:lpwstr>146</vt:lpwstr>
  </property>
</Properties>
</file>